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73C92DEC" w:rsidR="009E5A7D" w:rsidRPr="00681CB2" w:rsidRDefault="009E5A7D" w:rsidP="009A65F3">
      <w:pPr>
        <w:spacing w:before="240" w:after="240" w:line="360" w:lineRule="auto"/>
        <w:jc w:val="both"/>
        <w:rPr>
          <w:rFonts w:ascii="Palatino Linotype" w:hAnsi="Palatino Linotype" w:cs="Arial"/>
        </w:rPr>
      </w:pPr>
      <w:r w:rsidRPr="00681CB2">
        <w:rPr>
          <w:rFonts w:ascii="Palatino Linotype" w:hAnsi="Palatino Linotype"/>
        </w:rPr>
        <w:t>Resolución del Pleno del Instituto de Transparencia, Acceso a la Información Pública y Protección de Datos Personales del Estado de México y Municipios,</w:t>
      </w:r>
      <w:r w:rsidR="00880CEA" w:rsidRPr="00681CB2">
        <w:rPr>
          <w:rFonts w:ascii="Palatino Linotype" w:hAnsi="Palatino Linotype"/>
        </w:rPr>
        <w:t xml:space="preserve"> </w:t>
      </w:r>
      <w:r w:rsidR="00880CEA" w:rsidRPr="00681CB2">
        <w:rPr>
          <w:rFonts w:ascii="Palatino Linotype" w:eastAsia="Calibri" w:hAnsi="Palatino Linotype" w:cs="Arial"/>
        </w:rPr>
        <w:t>con domicilio en Metepec, Estado de México,</w:t>
      </w:r>
      <w:r w:rsidRPr="00681CB2">
        <w:rPr>
          <w:rFonts w:ascii="Palatino Linotype" w:hAnsi="Palatino Linotype"/>
        </w:rPr>
        <w:t xml:space="preserve"> </w:t>
      </w:r>
      <w:r w:rsidR="00DF2EE7" w:rsidRPr="00681CB2">
        <w:rPr>
          <w:rFonts w:ascii="Palatino Linotype" w:hAnsi="Palatino Linotype"/>
        </w:rPr>
        <w:t>de fecha</w:t>
      </w:r>
      <w:r w:rsidRPr="00681CB2">
        <w:rPr>
          <w:rStyle w:val="apple-converted-space"/>
          <w:rFonts w:ascii="Palatino Linotype" w:hAnsi="Palatino Linotype" w:cs="Arial"/>
        </w:rPr>
        <w:t> </w:t>
      </w:r>
      <w:r w:rsidR="00330F6F">
        <w:rPr>
          <w:rStyle w:val="apple-converted-space"/>
          <w:rFonts w:ascii="Palatino Linotype" w:hAnsi="Palatino Linotype" w:cs="Arial"/>
        </w:rPr>
        <w:t>diecisiete</w:t>
      </w:r>
      <w:r w:rsidR="00D5723C" w:rsidRPr="00681CB2">
        <w:rPr>
          <w:rStyle w:val="apple-converted-space"/>
          <w:rFonts w:ascii="Palatino Linotype" w:hAnsi="Palatino Linotype" w:cs="Arial"/>
        </w:rPr>
        <w:t xml:space="preserve"> </w:t>
      </w:r>
      <w:r w:rsidRPr="00681CB2">
        <w:rPr>
          <w:rStyle w:val="normaltextrun"/>
          <w:rFonts w:ascii="Palatino Linotype" w:hAnsi="Palatino Linotype" w:cs="Arial"/>
        </w:rPr>
        <w:t>de</w:t>
      </w:r>
      <w:r w:rsidR="002F35EC" w:rsidRPr="00681CB2">
        <w:rPr>
          <w:rStyle w:val="normaltextrun"/>
          <w:rFonts w:ascii="Palatino Linotype" w:hAnsi="Palatino Linotype" w:cs="Arial"/>
        </w:rPr>
        <w:t xml:space="preserve"> </w:t>
      </w:r>
      <w:r w:rsidR="00330F6F">
        <w:rPr>
          <w:rStyle w:val="normaltextrun"/>
          <w:rFonts w:ascii="Palatino Linotype" w:hAnsi="Palatino Linotype" w:cs="Arial"/>
        </w:rPr>
        <w:t>octubre</w:t>
      </w:r>
      <w:r w:rsidR="009E72DE" w:rsidRPr="00681CB2">
        <w:rPr>
          <w:rStyle w:val="normaltextrun"/>
          <w:rFonts w:ascii="Palatino Linotype" w:hAnsi="Palatino Linotype" w:cs="Arial"/>
        </w:rPr>
        <w:t xml:space="preserve"> </w:t>
      </w:r>
      <w:r w:rsidRPr="00681CB2">
        <w:rPr>
          <w:rStyle w:val="normaltextrun"/>
          <w:rFonts w:ascii="Palatino Linotype" w:hAnsi="Palatino Linotype" w:cs="Arial"/>
        </w:rPr>
        <w:t xml:space="preserve">de dos mil </w:t>
      </w:r>
      <w:r w:rsidR="00155EE8" w:rsidRPr="00681CB2">
        <w:rPr>
          <w:rStyle w:val="normaltextrun"/>
          <w:rFonts w:ascii="Palatino Linotype" w:hAnsi="Palatino Linotype" w:cs="Arial"/>
        </w:rPr>
        <w:t>dieci</w:t>
      </w:r>
      <w:r w:rsidR="005D516E" w:rsidRPr="00681CB2">
        <w:rPr>
          <w:rStyle w:val="normaltextrun"/>
          <w:rFonts w:ascii="Palatino Linotype" w:hAnsi="Palatino Linotype" w:cs="Arial"/>
        </w:rPr>
        <w:t>ocho</w:t>
      </w:r>
      <w:r w:rsidRPr="00681CB2">
        <w:rPr>
          <w:rStyle w:val="normaltextrun"/>
          <w:rFonts w:ascii="Palatino Linotype" w:hAnsi="Palatino Linotype" w:cs="Arial"/>
        </w:rPr>
        <w:t>.</w:t>
      </w:r>
    </w:p>
    <w:p w14:paraId="09115020" w14:textId="4B4622AD" w:rsidR="009E5A7D" w:rsidRPr="00681CB2" w:rsidRDefault="009E5A7D" w:rsidP="009A65F3">
      <w:pPr>
        <w:spacing w:before="240" w:after="240" w:line="360" w:lineRule="auto"/>
        <w:jc w:val="both"/>
        <w:rPr>
          <w:rFonts w:ascii="Palatino Linotype" w:hAnsi="Palatino Linotype" w:cs="Arial"/>
          <w:b/>
        </w:rPr>
      </w:pPr>
      <w:r w:rsidRPr="00681CB2">
        <w:rPr>
          <w:rFonts w:ascii="Palatino Linotype" w:hAnsi="Palatino Linotype" w:cs="Arial"/>
          <w:b/>
        </w:rPr>
        <w:t>Visto</w:t>
      </w:r>
      <w:r w:rsidRPr="00681CB2">
        <w:rPr>
          <w:rFonts w:ascii="Palatino Linotype" w:hAnsi="Palatino Linotype" w:cs="Arial"/>
        </w:rPr>
        <w:t xml:space="preserve"> el expediente relativo al recurso de revisión </w:t>
      </w:r>
      <w:r w:rsidR="00274494" w:rsidRPr="00681CB2">
        <w:rPr>
          <w:rFonts w:ascii="Palatino Linotype" w:hAnsi="Palatino Linotype" w:cs="Arial"/>
          <w:b/>
          <w:bCs/>
        </w:rPr>
        <w:t>0</w:t>
      </w:r>
      <w:r w:rsidR="00725680" w:rsidRPr="00681CB2">
        <w:rPr>
          <w:rFonts w:ascii="Palatino Linotype" w:hAnsi="Palatino Linotype" w:cs="Arial"/>
          <w:b/>
          <w:bCs/>
        </w:rPr>
        <w:t>3316</w:t>
      </w:r>
      <w:r w:rsidR="00155EE8" w:rsidRPr="00681CB2">
        <w:rPr>
          <w:rFonts w:ascii="Palatino Linotype" w:hAnsi="Palatino Linotype" w:cs="Arial"/>
          <w:b/>
          <w:bCs/>
        </w:rPr>
        <w:t>/INFOEM/IP/RR/201</w:t>
      </w:r>
      <w:r w:rsidR="005D516E" w:rsidRPr="00681CB2">
        <w:rPr>
          <w:rFonts w:ascii="Palatino Linotype" w:hAnsi="Palatino Linotype" w:cs="Arial"/>
          <w:b/>
          <w:bCs/>
        </w:rPr>
        <w:t>8</w:t>
      </w:r>
      <w:r w:rsidRPr="00681CB2">
        <w:rPr>
          <w:rFonts w:ascii="Palatino Linotype" w:hAnsi="Palatino Linotype" w:cs="Arial"/>
        </w:rPr>
        <w:t>, interpuesto por</w:t>
      </w:r>
      <w:r w:rsidR="00ED6D1E" w:rsidRPr="00681CB2">
        <w:rPr>
          <w:rFonts w:ascii="Palatino Linotype" w:hAnsi="Palatino Linotype" w:cs="Arial"/>
        </w:rPr>
        <w:t xml:space="preserve"> </w:t>
      </w:r>
      <w:proofErr w:type="spellStart"/>
      <w:r w:rsidR="00EC0700" w:rsidRPr="00EC0700">
        <w:rPr>
          <w:rFonts w:ascii="Palatino Linotype" w:hAnsi="Palatino Linotype" w:cs="Arial"/>
          <w:b/>
        </w:rPr>
        <w:t>Xxxxx</w:t>
      </w:r>
      <w:proofErr w:type="spellEnd"/>
      <w:r w:rsidR="00EC0700" w:rsidRPr="00EC0700">
        <w:rPr>
          <w:rFonts w:ascii="Palatino Linotype" w:hAnsi="Palatino Linotype" w:cs="Arial"/>
          <w:b/>
        </w:rPr>
        <w:t xml:space="preserve"> </w:t>
      </w:r>
      <w:proofErr w:type="spellStart"/>
      <w:r w:rsidR="00EC0700" w:rsidRPr="00EC0700">
        <w:rPr>
          <w:rFonts w:ascii="Palatino Linotype" w:hAnsi="Palatino Linotype" w:cs="Arial"/>
          <w:b/>
        </w:rPr>
        <w:t>Xxxxxxxx</w:t>
      </w:r>
      <w:proofErr w:type="spellEnd"/>
      <w:r w:rsidR="00EC0700" w:rsidRPr="00EC0700">
        <w:rPr>
          <w:rFonts w:ascii="Palatino Linotype" w:hAnsi="Palatino Linotype" w:cs="Arial"/>
          <w:b/>
        </w:rPr>
        <w:t xml:space="preserve"> </w:t>
      </w:r>
      <w:proofErr w:type="spellStart"/>
      <w:r w:rsidR="00EC0700" w:rsidRPr="00EC0700">
        <w:rPr>
          <w:rFonts w:ascii="Palatino Linotype" w:hAnsi="Palatino Linotype" w:cs="Arial"/>
          <w:b/>
        </w:rPr>
        <w:t>Xxxxx</w:t>
      </w:r>
      <w:proofErr w:type="spellEnd"/>
      <w:r w:rsidRPr="00681CB2">
        <w:rPr>
          <w:rFonts w:ascii="Palatino Linotype" w:hAnsi="Palatino Linotype" w:cs="Arial"/>
        </w:rPr>
        <w:t xml:space="preserve">, en lo sucesivo </w:t>
      </w:r>
      <w:r w:rsidR="002F35EC" w:rsidRPr="00681CB2">
        <w:rPr>
          <w:rFonts w:ascii="Palatino Linotype" w:hAnsi="Palatino Linotype" w:cs="Arial"/>
          <w:b/>
        </w:rPr>
        <w:t>e</w:t>
      </w:r>
      <w:r w:rsidR="00D94CF7" w:rsidRPr="00681CB2">
        <w:rPr>
          <w:rFonts w:ascii="Palatino Linotype" w:hAnsi="Palatino Linotype" w:cs="Arial"/>
          <w:b/>
        </w:rPr>
        <w:t>l</w:t>
      </w:r>
      <w:r w:rsidRPr="00681CB2">
        <w:rPr>
          <w:rFonts w:ascii="Palatino Linotype" w:hAnsi="Palatino Linotype" w:cs="Arial"/>
        </w:rPr>
        <w:t xml:space="preserve"> </w:t>
      </w:r>
      <w:r w:rsidRPr="00681CB2">
        <w:rPr>
          <w:rFonts w:ascii="Palatino Linotype" w:hAnsi="Palatino Linotype" w:cs="Arial"/>
          <w:b/>
        </w:rPr>
        <w:t>recurrente</w:t>
      </w:r>
      <w:r w:rsidRPr="00681CB2">
        <w:rPr>
          <w:rFonts w:ascii="Palatino Linotype" w:hAnsi="Palatino Linotype" w:cs="Arial"/>
        </w:rPr>
        <w:t xml:space="preserve"> en contra de la</w:t>
      </w:r>
      <w:r w:rsidR="00BB48B2">
        <w:rPr>
          <w:rFonts w:ascii="Palatino Linotype" w:hAnsi="Palatino Linotype" w:cs="Arial"/>
        </w:rPr>
        <w:t xml:space="preserve"> </w:t>
      </w:r>
      <w:r w:rsidRPr="00681CB2">
        <w:rPr>
          <w:rFonts w:ascii="Palatino Linotype" w:hAnsi="Palatino Linotype" w:cs="Arial"/>
        </w:rPr>
        <w:t xml:space="preserve">respuesta a su solicitud de información con número de folio </w:t>
      </w:r>
      <w:r w:rsidR="00725680" w:rsidRPr="00681CB2">
        <w:rPr>
          <w:rFonts w:ascii="Palatino Linotype" w:hAnsi="Palatino Linotype" w:cs="Arial"/>
          <w:b/>
        </w:rPr>
        <w:t>00131</w:t>
      </w:r>
      <w:r w:rsidR="005D516E" w:rsidRPr="00681CB2">
        <w:rPr>
          <w:rFonts w:ascii="Palatino Linotype" w:hAnsi="Palatino Linotype" w:cs="Arial"/>
          <w:b/>
        </w:rPr>
        <w:t>/</w:t>
      </w:r>
      <w:r w:rsidR="00725680" w:rsidRPr="00681CB2">
        <w:rPr>
          <w:rFonts w:ascii="Palatino Linotype" w:hAnsi="Palatino Linotype" w:cs="Arial"/>
          <w:b/>
        </w:rPr>
        <w:t>OASTLALNE</w:t>
      </w:r>
      <w:r w:rsidR="00155EE8" w:rsidRPr="00681CB2">
        <w:rPr>
          <w:rFonts w:ascii="Palatino Linotype" w:hAnsi="Palatino Linotype" w:cs="Arial"/>
          <w:b/>
        </w:rPr>
        <w:t>/IP/201</w:t>
      </w:r>
      <w:r w:rsidR="0011135B" w:rsidRPr="00681CB2">
        <w:rPr>
          <w:rFonts w:ascii="Palatino Linotype" w:hAnsi="Palatino Linotype" w:cs="Arial"/>
          <w:b/>
        </w:rPr>
        <w:t>8</w:t>
      </w:r>
      <w:r w:rsidRPr="00681CB2">
        <w:rPr>
          <w:rFonts w:ascii="Palatino Linotype" w:hAnsi="Palatino Linotype" w:cs="Arial"/>
        </w:rPr>
        <w:t>, por parte de</w:t>
      </w:r>
      <w:r w:rsidR="00A74766" w:rsidRPr="00681CB2">
        <w:rPr>
          <w:rFonts w:ascii="Palatino Linotype" w:hAnsi="Palatino Linotype" w:cs="Arial"/>
        </w:rPr>
        <w:t>l</w:t>
      </w:r>
      <w:r w:rsidRPr="00681CB2">
        <w:rPr>
          <w:rFonts w:ascii="Palatino Linotype" w:hAnsi="Palatino Linotype" w:cs="Arial"/>
        </w:rPr>
        <w:t xml:space="preserve"> </w:t>
      </w:r>
      <w:r w:rsidR="00725680" w:rsidRPr="00681CB2">
        <w:rPr>
          <w:rFonts w:ascii="Palatino Linotype" w:hAnsi="Palatino Linotype"/>
          <w:b/>
          <w:sz w:val="22"/>
          <w:szCs w:val="22"/>
          <w:lang w:val="es-ES_tradnl"/>
        </w:rPr>
        <w:t>Organismo Público Descent</w:t>
      </w:r>
      <w:r w:rsidR="00BB48B2">
        <w:rPr>
          <w:rFonts w:ascii="Palatino Linotype" w:hAnsi="Palatino Linotype"/>
          <w:b/>
          <w:sz w:val="22"/>
          <w:szCs w:val="22"/>
          <w:lang w:val="es-ES_tradnl"/>
        </w:rPr>
        <w:t>ralizado para la Prestación de l</w:t>
      </w:r>
      <w:r w:rsidR="00725680" w:rsidRPr="00681CB2">
        <w:rPr>
          <w:rFonts w:ascii="Palatino Linotype" w:hAnsi="Palatino Linotype"/>
          <w:b/>
          <w:sz w:val="22"/>
          <w:szCs w:val="22"/>
          <w:lang w:val="es-ES_tradnl"/>
        </w:rPr>
        <w:t>os Servicios de Agua Potable Alcantarillado y Saneamiento del Municipio de Tlalnepantla de Baz</w:t>
      </w:r>
      <w:r w:rsidRPr="00681CB2">
        <w:rPr>
          <w:rFonts w:ascii="Palatino Linotype" w:hAnsi="Palatino Linotype" w:cs="Arial"/>
        </w:rPr>
        <w:t xml:space="preserve">, en lo sucesivo el </w:t>
      </w:r>
      <w:r w:rsidRPr="00681CB2">
        <w:rPr>
          <w:rFonts w:ascii="Palatino Linotype" w:hAnsi="Palatino Linotype" w:cs="Arial"/>
          <w:b/>
        </w:rPr>
        <w:t xml:space="preserve">Sujeto Obligado; </w:t>
      </w:r>
      <w:r w:rsidRPr="00681CB2">
        <w:rPr>
          <w:rFonts w:ascii="Palatino Linotype" w:hAnsi="Palatino Linotype" w:cs="Arial"/>
        </w:rPr>
        <w:t>se procede a dictar la presente resolución, con base en lo siguiente.</w:t>
      </w:r>
    </w:p>
    <w:p w14:paraId="783B97B4" w14:textId="77777777" w:rsidR="009E5A7D" w:rsidRPr="00681CB2" w:rsidRDefault="009E5A7D" w:rsidP="00E84B75">
      <w:pPr>
        <w:pStyle w:val="Prrafodelista"/>
        <w:numPr>
          <w:ilvl w:val="0"/>
          <w:numId w:val="1"/>
        </w:numPr>
        <w:spacing w:before="240" w:after="240" w:line="360" w:lineRule="auto"/>
        <w:ind w:left="1077"/>
        <w:contextualSpacing/>
        <w:jc w:val="center"/>
        <w:rPr>
          <w:rFonts w:ascii="Palatino Linotype" w:hAnsi="Palatino Linotype" w:cs="Arial"/>
          <w:b/>
        </w:rPr>
      </w:pPr>
      <w:r w:rsidRPr="00681CB2">
        <w:rPr>
          <w:rFonts w:ascii="Palatino Linotype" w:hAnsi="Palatino Linotype" w:cs="Arial"/>
          <w:b/>
        </w:rPr>
        <w:t>A N T E C E D E N T E S:</w:t>
      </w:r>
    </w:p>
    <w:p w14:paraId="2137DF43" w14:textId="6828A96E" w:rsidR="009E5A7D" w:rsidRPr="00681CB2" w:rsidRDefault="009E5A7D" w:rsidP="009A65F3">
      <w:pPr>
        <w:spacing w:before="240" w:after="240" w:line="360" w:lineRule="auto"/>
        <w:jc w:val="both"/>
        <w:rPr>
          <w:rFonts w:ascii="Palatino Linotype" w:hAnsi="Palatino Linotype" w:cs="Arial"/>
          <w:b/>
        </w:rPr>
      </w:pPr>
      <w:r w:rsidRPr="00681CB2">
        <w:rPr>
          <w:rFonts w:ascii="Palatino Linotype" w:hAnsi="Palatino Linotype" w:cs="Arial"/>
          <w:b/>
        </w:rPr>
        <w:t xml:space="preserve">1. Solicitud de acceso a la información. </w:t>
      </w:r>
      <w:r w:rsidRPr="00681CB2">
        <w:rPr>
          <w:rFonts w:ascii="Palatino Linotype" w:hAnsi="Palatino Linotype" w:cs="Arial"/>
        </w:rPr>
        <w:t xml:space="preserve">Con fecha </w:t>
      </w:r>
      <w:r w:rsidR="00725680" w:rsidRPr="00681CB2">
        <w:rPr>
          <w:rFonts w:ascii="Palatino Linotype" w:hAnsi="Palatino Linotype" w:cs="Arial"/>
        </w:rPr>
        <w:t xml:space="preserve">treinta </w:t>
      </w:r>
      <w:r w:rsidRPr="00681CB2">
        <w:rPr>
          <w:rFonts w:ascii="Palatino Linotype" w:hAnsi="Palatino Linotype" w:cs="Arial"/>
        </w:rPr>
        <w:t xml:space="preserve">de </w:t>
      </w:r>
      <w:r w:rsidR="00725680" w:rsidRPr="00681CB2">
        <w:rPr>
          <w:rFonts w:ascii="Palatino Linotype" w:hAnsi="Palatino Linotype" w:cs="Arial"/>
        </w:rPr>
        <w:t xml:space="preserve">agosto </w:t>
      </w:r>
      <w:r w:rsidR="00C72F08" w:rsidRPr="00681CB2">
        <w:rPr>
          <w:rFonts w:ascii="Palatino Linotype" w:hAnsi="Palatino Linotype" w:cs="Arial"/>
        </w:rPr>
        <w:t xml:space="preserve">de </w:t>
      </w:r>
      <w:r w:rsidRPr="00681CB2">
        <w:rPr>
          <w:rFonts w:ascii="Palatino Linotype" w:hAnsi="Palatino Linotype" w:cs="Arial"/>
        </w:rPr>
        <w:t xml:space="preserve">dos mil </w:t>
      </w:r>
      <w:r w:rsidR="00155EE8" w:rsidRPr="00681CB2">
        <w:rPr>
          <w:rFonts w:ascii="Palatino Linotype" w:hAnsi="Palatino Linotype" w:cs="Arial"/>
        </w:rPr>
        <w:t>dieci</w:t>
      </w:r>
      <w:r w:rsidR="0011135B" w:rsidRPr="00681CB2">
        <w:rPr>
          <w:rFonts w:ascii="Palatino Linotype" w:hAnsi="Palatino Linotype" w:cs="Arial"/>
        </w:rPr>
        <w:t>ocho</w:t>
      </w:r>
      <w:r w:rsidRPr="00681CB2">
        <w:rPr>
          <w:rFonts w:ascii="Palatino Linotype" w:hAnsi="Palatino Linotype" w:cs="Arial"/>
        </w:rPr>
        <w:t>, la</w:t>
      </w:r>
      <w:r w:rsidR="00176A2B" w:rsidRPr="00681CB2">
        <w:rPr>
          <w:rFonts w:ascii="Palatino Linotype" w:hAnsi="Palatino Linotype" w:cs="Arial"/>
        </w:rPr>
        <w:t xml:space="preserve"> parte</w:t>
      </w:r>
      <w:r w:rsidRPr="00681CB2">
        <w:rPr>
          <w:rFonts w:ascii="Palatino Linotype" w:hAnsi="Palatino Linotype" w:cs="Arial"/>
        </w:rPr>
        <w:t xml:space="preserve"> </w:t>
      </w:r>
      <w:r w:rsidRPr="00681CB2">
        <w:rPr>
          <w:rFonts w:ascii="Palatino Linotype" w:hAnsi="Palatino Linotype" w:cs="Arial"/>
          <w:b/>
        </w:rPr>
        <w:t>recurrente</w:t>
      </w:r>
      <w:r w:rsidRPr="00681CB2">
        <w:rPr>
          <w:rFonts w:ascii="Palatino Linotype" w:hAnsi="Palatino Linotype" w:cs="Arial"/>
        </w:rPr>
        <w:t xml:space="preserve"> formuló solicitud de acceso a</w:t>
      </w:r>
      <w:r w:rsidR="00FF6B97" w:rsidRPr="00681CB2">
        <w:rPr>
          <w:rFonts w:ascii="Palatino Linotype" w:hAnsi="Palatino Linotype" w:cs="Arial"/>
        </w:rPr>
        <w:t xml:space="preserve"> la</w:t>
      </w:r>
      <w:r w:rsidRPr="00681CB2">
        <w:rPr>
          <w:rFonts w:ascii="Palatino Linotype" w:hAnsi="Palatino Linotype" w:cs="Arial"/>
        </w:rPr>
        <w:t xml:space="preserve"> información pública al </w:t>
      </w:r>
      <w:r w:rsidRPr="00681CB2">
        <w:rPr>
          <w:rFonts w:ascii="Palatino Linotype" w:hAnsi="Palatino Linotype" w:cs="Arial"/>
          <w:b/>
        </w:rPr>
        <w:t>Sujeto Obligado</w:t>
      </w:r>
      <w:r w:rsidRPr="00681CB2">
        <w:rPr>
          <w:rFonts w:ascii="Palatino Linotype" w:hAnsi="Palatino Linotype" w:cs="Arial"/>
        </w:rPr>
        <w:t xml:space="preserve"> a través del Sistema de Acceso a la Información Mexiquense, en adelante </w:t>
      </w:r>
      <w:r w:rsidRPr="00681CB2">
        <w:rPr>
          <w:rFonts w:ascii="Palatino Linotype" w:hAnsi="Palatino Linotype" w:cs="Arial"/>
          <w:b/>
        </w:rPr>
        <w:t>SAIMEX,</w:t>
      </w:r>
      <w:r w:rsidRPr="00681CB2">
        <w:rPr>
          <w:rFonts w:ascii="Palatino Linotype" w:hAnsi="Palatino Linotype" w:cs="Arial"/>
        </w:rPr>
        <w:t xml:space="preserve">  requiriéndole lo siguiente:</w:t>
      </w:r>
    </w:p>
    <w:p w14:paraId="777CDE7C" w14:textId="08C43F84" w:rsidR="004F6DE4" w:rsidRPr="00681CB2" w:rsidRDefault="009E5A7D" w:rsidP="009A65F3">
      <w:pPr>
        <w:autoSpaceDE w:val="0"/>
        <w:autoSpaceDN w:val="0"/>
        <w:adjustRightInd w:val="0"/>
        <w:ind w:left="851" w:right="900"/>
        <w:jc w:val="both"/>
        <w:rPr>
          <w:rFonts w:ascii="Palatino Linotype" w:hAnsi="Palatino Linotype" w:cs="Arial"/>
          <w:i/>
          <w:sz w:val="22"/>
          <w:szCs w:val="22"/>
        </w:rPr>
      </w:pPr>
      <w:r w:rsidRPr="00681CB2">
        <w:rPr>
          <w:rFonts w:ascii="Palatino Linotype" w:hAnsi="Palatino Linotype" w:cs="Arial"/>
          <w:i/>
          <w:sz w:val="22"/>
          <w:szCs w:val="22"/>
        </w:rPr>
        <w:t>“</w:t>
      </w:r>
      <w:r w:rsidR="00725680" w:rsidRPr="00681CB2">
        <w:rPr>
          <w:rFonts w:ascii="Palatino Linotype" w:hAnsi="Palatino Linotype" w:cs="Arial"/>
          <w:i/>
          <w:sz w:val="22"/>
          <w:szCs w:val="22"/>
        </w:rPr>
        <w:t xml:space="preserve">Me refiero a la obligación de cargar en el sistema público de oficio mexiquense a través de la herramienta IPOMEX, la información relativa a los procedimientos de contratación mediante Adjudicación directa, Licitación Pública o Invitación Restringida señaladas en el artículo 92 de la Ley de Transparencia del Estado de México. Al respecto, y en virtud de que la obligación del ayuntamiento como </w:t>
      </w:r>
      <w:r w:rsidR="00725680" w:rsidRPr="00681CB2">
        <w:rPr>
          <w:rFonts w:ascii="Palatino Linotype" w:hAnsi="Palatino Linotype" w:cs="Arial"/>
          <w:i/>
          <w:sz w:val="22"/>
          <w:szCs w:val="22"/>
        </w:rPr>
        <w:lastRenderedPageBreak/>
        <w:t xml:space="preserve">sujeto obligado de cargar dichos procedimientos no se encuentra completa, solicito lo siguiente: Relación completa de todos los proveedores, comercializadoras y contratistas con los que el ayuntamiento ha suscrito algún instrumento jurídico durante los ejercicios fiscales 2012, 2013, 2014, 2015, 2016, 2017 y 2018 Número de contratos que ha suscrito cualquier Unidad Administrativa del ayuntamiento con la empresa “Grupo ARGOG y asociados, S.A. De C.V.” “ARGOG, S.A. </w:t>
      </w:r>
      <w:proofErr w:type="spellStart"/>
      <w:r w:rsidR="00725680" w:rsidRPr="00681CB2">
        <w:rPr>
          <w:rFonts w:ascii="Palatino Linotype" w:hAnsi="Palatino Linotype" w:cs="Arial"/>
          <w:i/>
          <w:sz w:val="22"/>
          <w:szCs w:val="22"/>
        </w:rPr>
        <w:t>se</w:t>
      </w:r>
      <w:proofErr w:type="spellEnd"/>
      <w:r w:rsidR="00725680" w:rsidRPr="00681CB2">
        <w:rPr>
          <w:rFonts w:ascii="Palatino Linotype" w:hAnsi="Palatino Linotype" w:cs="Arial"/>
          <w:i/>
          <w:sz w:val="22"/>
          <w:szCs w:val="22"/>
        </w:rPr>
        <w:t xml:space="preserve"> C.V.” o similares, en los ejercicios fiscales 2012, 2013, 2014, 2015, 2016, 2017 y 2018 Objeto de cada contrato Monto pagado y vigencia de cada uno de ellos Versión Pública debidamente elaborada de los contratos y sus respectivos anexos técnicos Versión publica de las actas de comité, propuesta técnica y económica del proveedor, y en su caso, estudio de mercado. En caso de que </w:t>
      </w:r>
      <w:proofErr w:type="gramStart"/>
      <w:r w:rsidR="00725680" w:rsidRPr="00681CB2">
        <w:rPr>
          <w:rFonts w:ascii="Palatino Linotype" w:hAnsi="Palatino Linotype" w:cs="Arial"/>
          <w:i/>
          <w:sz w:val="22"/>
          <w:szCs w:val="22"/>
        </w:rPr>
        <w:t>hubieran</w:t>
      </w:r>
      <w:proofErr w:type="gramEnd"/>
      <w:r w:rsidR="00725680" w:rsidRPr="00681CB2">
        <w:rPr>
          <w:rFonts w:ascii="Palatino Linotype" w:hAnsi="Palatino Linotype" w:cs="Arial"/>
          <w:i/>
          <w:sz w:val="22"/>
          <w:szCs w:val="22"/>
        </w:rPr>
        <w:t xml:space="preserve"> excepciones a licitación pública, versión pública de las actas u homólogos, donde se compruebe la razón por la cual se optó por ese tipo de procedimiento. Gracias.</w:t>
      </w:r>
      <w:r w:rsidR="00C72F08" w:rsidRPr="00681CB2">
        <w:rPr>
          <w:rFonts w:ascii="Palatino Linotype" w:hAnsi="Palatino Linotype" w:cs="Arial"/>
          <w:i/>
          <w:sz w:val="22"/>
          <w:szCs w:val="22"/>
        </w:rPr>
        <w:t xml:space="preserve"> </w:t>
      </w:r>
      <w:r w:rsidR="00ED6D1E" w:rsidRPr="00681CB2">
        <w:rPr>
          <w:rFonts w:ascii="Palatino Linotype" w:hAnsi="Palatino Linotype" w:cs="Arial"/>
          <w:i/>
          <w:sz w:val="22"/>
          <w:szCs w:val="22"/>
        </w:rPr>
        <w:t>“</w:t>
      </w:r>
      <w:r w:rsidRPr="00681CB2">
        <w:rPr>
          <w:rFonts w:ascii="Palatino Linotype" w:hAnsi="Palatino Linotype" w:cs="Arial"/>
          <w:i/>
          <w:sz w:val="22"/>
          <w:szCs w:val="22"/>
        </w:rPr>
        <w:t>(sic)</w:t>
      </w:r>
    </w:p>
    <w:p w14:paraId="4BF9E253" w14:textId="23BDB069" w:rsidR="0026697E" w:rsidRPr="00681CB2" w:rsidRDefault="00FF6B97" w:rsidP="009A65F3">
      <w:pPr>
        <w:spacing w:before="240" w:after="240" w:line="360" w:lineRule="auto"/>
        <w:jc w:val="both"/>
        <w:rPr>
          <w:rFonts w:ascii="Palatino Linotype" w:hAnsi="Palatino Linotype" w:cs="Arial"/>
        </w:rPr>
      </w:pPr>
      <w:r w:rsidRPr="00681CB2">
        <w:rPr>
          <w:rFonts w:ascii="Palatino Linotype" w:hAnsi="Palatino Linotype" w:cs="Arial"/>
          <w:b/>
        </w:rPr>
        <w:t>Modalidad</w:t>
      </w:r>
      <w:r w:rsidR="0026697E" w:rsidRPr="00681CB2">
        <w:rPr>
          <w:rFonts w:ascii="Palatino Linotype" w:hAnsi="Palatino Linotype" w:cs="Arial"/>
          <w:b/>
        </w:rPr>
        <w:t xml:space="preserve"> elegida para la entrega de la información: </w:t>
      </w:r>
      <w:r w:rsidR="00C72F08" w:rsidRPr="00681CB2">
        <w:rPr>
          <w:rFonts w:ascii="Palatino Linotype" w:hAnsi="Palatino Linotype" w:cs="Arial"/>
        </w:rPr>
        <w:t>a través del SAIMEX</w:t>
      </w:r>
      <w:r w:rsidR="0026697E" w:rsidRPr="00681CB2">
        <w:rPr>
          <w:rFonts w:ascii="Palatino Linotype" w:hAnsi="Palatino Linotype" w:cs="Arial"/>
        </w:rPr>
        <w:t>.</w:t>
      </w:r>
    </w:p>
    <w:p w14:paraId="30128DC5" w14:textId="724774F4" w:rsidR="00E426A8" w:rsidRPr="00681CB2" w:rsidRDefault="00740D10" w:rsidP="00E426A8">
      <w:pPr>
        <w:spacing w:before="240" w:after="240" w:line="360" w:lineRule="auto"/>
        <w:jc w:val="both"/>
        <w:rPr>
          <w:rFonts w:ascii="Palatino Linotype" w:hAnsi="Palatino Linotype" w:cs="Arial"/>
        </w:rPr>
      </w:pPr>
      <w:r w:rsidRPr="00681CB2">
        <w:rPr>
          <w:rFonts w:ascii="Palatino Linotype" w:hAnsi="Palatino Linotype" w:cs="Arial"/>
          <w:b/>
        </w:rPr>
        <w:t xml:space="preserve">2. </w:t>
      </w:r>
      <w:r w:rsidR="0004420F" w:rsidRPr="00681CB2">
        <w:rPr>
          <w:rFonts w:ascii="Palatino Linotype" w:hAnsi="Palatino Linotype" w:cs="Arial"/>
          <w:b/>
        </w:rPr>
        <w:t xml:space="preserve">Respuesta. </w:t>
      </w:r>
      <w:r w:rsidR="00E426A8" w:rsidRPr="00681CB2">
        <w:rPr>
          <w:rFonts w:ascii="Palatino Linotype" w:hAnsi="Palatino Linotype" w:cs="Arial"/>
        </w:rPr>
        <w:t xml:space="preserve">Con fecha treinta y uno de agosto de dos mil dieciocho el </w:t>
      </w:r>
      <w:r w:rsidR="00E426A8" w:rsidRPr="00681CB2">
        <w:rPr>
          <w:rFonts w:ascii="Palatino Linotype" w:hAnsi="Palatino Linotype" w:cs="Arial"/>
          <w:b/>
        </w:rPr>
        <w:t>Sujeto Obligado</w:t>
      </w:r>
      <w:r w:rsidR="00E426A8" w:rsidRPr="00681CB2">
        <w:rPr>
          <w:rFonts w:ascii="Palatino Linotype" w:hAnsi="Palatino Linotype" w:cs="Arial"/>
        </w:rPr>
        <w:t xml:space="preserve"> envió su respuesta a la solicitud de acceso a la información a través del SAIMEX, la cual versa de la siguiente manera:</w:t>
      </w:r>
    </w:p>
    <w:p w14:paraId="52D588D2" w14:textId="15B595FB" w:rsidR="00E426A8" w:rsidRPr="00681CB2" w:rsidRDefault="00E426A8" w:rsidP="00E426A8">
      <w:pPr>
        <w:autoSpaceDE w:val="0"/>
        <w:autoSpaceDN w:val="0"/>
        <w:adjustRightInd w:val="0"/>
        <w:ind w:left="851" w:right="900"/>
        <w:jc w:val="both"/>
        <w:rPr>
          <w:rFonts w:ascii="Palatino Linotype" w:hAnsi="Palatino Linotype" w:cs="Arial"/>
          <w:i/>
          <w:sz w:val="22"/>
          <w:szCs w:val="22"/>
        </w:rPr>
      </w:pPr>
      <w:r w:rsidRPr="00681CB2">
        <w:rPr>
          <w:rFonts w:ascii="Palatino Linotype" w:hAnsi="Palatino Linotype" w:cs="Arial"/>
          <w:i/>
          <w:sz w:val="22"/>
          <w:szCs w:val="22"/>
        </w:rPr>
        <w:t>“Le envío en archivo adjunto electrónico, la respuesta a su solicitud de información con número de SAIMEX/00131/OASTLALNE/IP/2018“(sic)</w:t>
      </w:r>
    </w:p>
    <w:p w14:paraId="51E86EA8" w14:textId="08F37D6C" w:rsidR="001246FB" w:rsidRPr="00681CB2" w:rsidRDefault="001246FB" w:rsidP="009A65F3">
      <w:pPr>
        <w:spacing w:before="240" w:after="240" w:line="360" w:lineRule="auto"/>
        <w:jc w:val="both"/>
        <w:rPr>
          <w:rFonts w:ascii="Palatino Linotype" w:hAnsi="Palatino Linotype" w:cs="Arial"/>
        </w:rPr>
      </w:pPr>
      <w:r w:rsidRPr="00681CB2">
        <w:rPr>
          <w:rFonts w:ascii="Palatino Linotype" w:hAnsi="Palatino Linotype" w:cs="Arial"/>
          <w:b/>
        </w:rPr>
        <w:t xml:space="preserve">Anexo. </w:t>
      </w:r>
      <w:r w:rsidRPr="00681CB2">
        <w:rPr>
          <w:rFonts w:ascii="Palatino Linotype" w:hAnsi="Palatino Linotype" w:cs="Arial"/>
        </w:rPr>
        <w:t>Junto con su respuesta el Sujeto Obligado agregó el archivo electrónico denominado “CONTESTACIÓN TRANSPARENCIA SAIMEX 131.pdf</w:t>
      </w:r>
      <w:proofErr w:type="gramStart"/>
      <w:r w:rsidRPr="00681CB2">
        <w:rPr>
          <w:rFonts w:ascii="Palatino Linotype" w:hAnsi="Palatino Linotype" w:cs="Arial"/>
        </w:rPr>
        <w:t>” ,</w:t>
      </w:r>
      <w:proofErr w:type="gramEnd"/>
      <w:r w:rsidRPr="00681CB2">
        <w:rPr>
          <w:rFonts w:ascii="Palatino Linotype" w:hAnsi="Palatino Linotype" w:cs="Arial"/>
        </w:rPr>
        <w:t xml:space="preserve"> el cual consta del oficio OPDM/UT/871/2018, mediante el cual la Unidad de Transparencia otorga respuesta a la petición del recurrente.</w:t>
      </w:r>
    </w:p>
    <w:p w14:paraId="204B7B1F" w14:textId="485D2653" w:rsidR="009E5A7D" w:rsidRPr="00681CB2" w:rsidRDefault="004D422B" w:rsidP="009A65F3">
      <w:pPr>
        <w:spacing w:before="240" w:after="240" w:line="360" w:lineRule="auto"/>
        <w:jc w:val="both"/>
        <w:rPr>
          <w:rFonts w:ascii="Palatino Linotype" w:hAnsi="Palatino Linotype" w:cs="Arial"/>
          <w:b/>
        </w:rPr>
      </w:pPr>
      <w:r w:rsidRPr="00681CB2">
        <w:rPr>
          <w:rFonts w:ascii="Palatino Linotype" w:hAnsi="Palatino Linotype" w:cs="Arial"/>
          <w:b/>
        </w:rPr>
        <w:lastRenderedPageBreak/>
        <w:t>3</w:t>
      </w:r>
      <w:r w:rsidR="009E5A7D" w:rsidRPr="00681CB2">
        <w:rPr>
          <w:rFonts w:ascii="Palatino Linotype" w:hAnsi="Palatino Linotype" w:cs="Arial"/>
          <w:b/>
        </w:rPr>
        <w:t xml:space="preserve">. Interposición del recurso de revisión. </w:t>
      </w:r>
      <w:r w:rsidR="009E5A7D" w:rsidRPr="00681CB2">
        <w:rPr>
          <w:rFonts w:ascii="Palatino Linotype" w:hAnsi="Palatino Linotype" w:cs="Arial"/>
        </w:rPr>
        <w:t xml:space="preserve">Inconforme </w:t>
      </w:r>
      <w:r w:rsidR="00F56F30" w:rsidRPr="00681CB2">
        <w:rPr>
          <w:rFonts w:ascii="Palatino Linotype" w:hAnsi="Palatino Linotype" w:cs="Arial"/>
        </w:rPr>
        <w:t>e</w:t>
      </w:r>
      <w:r w:rsidR="009E5A7D" w:rsidRPr="00681CB2">
        <w:rPr>
          <w:rFonts w:ascii="Palatino Linotype" w:hAnsi="Palatino Linotype" w:cs="Arial"/>
        </w:rPr>
        <w:t>l solicitante con la</w:t>
      </w:r>
      <w:r w:rsidR="004817F9" w:rsidRPr="00681CB2">
        <w:rPr>
          <w:rFonts w:ascii="Palatino Linotype" w:hAnsi="Palatino Linotype" w:cs="Arial"/>
        </w:rPr>
        <w:t xml:space="preserve"> </w:t>
      </w:r>
      <w:r w:rsidR="009E5A7D" w:rsidRPr="00681CB2">
        <w:rPr>
          <w:rFonts w:ascii="Palatino Linotype" w:hAnsi="Palatino Linotype" w:cs="Arial"/>
        </w:rPr>
        <w:t xml:space="preserve">respuesta del </w:t>
      </w:r>
      <w:r w:rsidR="009E5A7D" w:rsidRPr="00681CB2">
        <w:rPr>
          <w:rFonts w:ascii="Palatino Linotype" w:hAnsi="Palatino Linotype" w:cs="Arial"/>
          <w:b/>
        </w:rPr>
        <w:t>Sujeto Obligado</w:t>
      </w:r>
      <w:r w:rsidR="009E5A7D" w:rsidRPr="00681CB2">
        <w:rPr>
          <w:rFonts w:ascii="Palatino Linotype" w:hAnsi="Palatino Linotype" w:cs="Arial"/>
        </w:rPr>
        <w:t xml:space="preserve"> interpuso recurso de revisión a través del SAIMEX en fecha </w:t>
      </w:r>
      <w:r w:rsidR="00D5417C" w:rsidRPr="00681CB2">
        <w:rPr>
          <w:rFonts w:ascii="Palatino Linotype" w:hAnsi="Palatino Linotype" w:cs="Arial"/>
        </w:rPr>
        <w:t>seis</w:t>
      </w:r>
      <w:r w:rsidR="00B45F90" w:rsidRPr="00681CB2">
        <w:rPr>
          <w:rFonts w:ascii="Palatino Linotype" w:hAnsi="Palatino Linotype" w:cs="Arial"/>
        </w:rPr>
        <w:t xml:space="preserve"> </w:t>
      </w:r>
      <w:r w:rsidR="009E5A7D" w:rsidRPr="00681CB2">
        <w:rPr>
          <w:rFonts w:ascii="Palatino Linotype" w:hAnsi="Palatino Linotype" w:cs="Arial"/>
        </w:rPr>
        <w:t xml:space="preserve">de </w:t>
      </w:r>
      <w:r w:rsidR="00D5417C" w:rsidRPr="00681CB2">
        <w:rPr>
          <w:rFonts w:ascii="Palatino Linotype" w:hAnsi="Palatino Linotype" w:cs="Arial"/>
        </w:rPr>
        <w:t xml:space="preserve">septiembre </w:t>
      </w:r>
      <w:r w:rsidR="009E5A7D" w:rsidRPr="00681CB2">
        <w:rPr>
          <w:rFonts w:ascii="Palatino Linotype" w:hAnsi="Palatino Linotype" w:cs="Arial"/>
        </w:rPr>
        <w:t xml:space="preserve">de dos mil </w:t>
      </w:r>
      <w:r w:rsidR="00155EE8" w:rsidRPr="00681CB2">
        <w:rPr>
          <w:rFonts w:ascii="Palatino Linotype" w:hAnsi="Palatino Linotype" w:cs="Arial"/>
        </w:rPr>
        <w:t>diec</w:t>
      </w:r>
      <w:r w:rsidR="00E132B7" w:rsidRPr="00681CB2">
        <w:rPr>
          <w:rFonts w:ascii="Palatino Linotype" w:hAnsi="Palatino Linotype" w:cs="Arial"/>
        </w:rPr>
        <w:t>iocho</w:t>
      </w:r>
      <w:r w:rsidR="009E5A7D" w:rsidRPr="00681CB2">
        <w:rPr>
          <w:rFonts w:ascii="Palatino Linotype" w:hAnsi="Palatino Linotype" w:cs="Arial"/>
        </w:rPr>
        <w:t>, a través del cual expresó lo siguiente:</w:t>
      </w:r>
    </w:p>
    <w:p w14:paraId="0ABF263D" w14:textId="77777777" w:rsidR="009E5A7D" w:rsidRPr="00681CB2" w:rsidRDefault="009E5A7D" w:rsidP="009A65F3">
      <w:pPr>
        <w:spacing w:line="360" w:lineRule="auto"/>
        <w:jc w:val="both"/>
        <w:rPr>
          <w:rFonts w:ascii="Palatino Linotype" w:hAnsi="Palatino Linotype" w:cs="Arial"/>
          <w:b/>
        </w:rPr>
      </w:pPr>
      <w:r w:rsidRPr="00681CB2">
        <w:rPr>
          <w:rFonts w:ascii="Palatino Linotype" w:hAnsi="Palatino Linotype" w:cs="Arial"/>
          <w:b/>
        </w:rPr>
        <w:t>a) Acto impugnado.</w:t>
      </w:r>
    </w:p>
    <w:p w14:paraId="622A9AB2" w14:textId="5EE1E021" w:rsidR="009E5A7D" w:rsidRPr="00681CB2" w:rsidRDefault="009E5A7D" w:rsidP="009A65F3">
      <w:pPr>
        <w:spacing w:before="240" w:after="240"/>
        <w:ind w:left="708" w:right="900"/>
        <w:jc w:val="both"/>
        <w:rPr>
          <w:rFonts w:ascii="Palatino Linotype" w:hAnsi="Palatino Linotype" w:cs="Arial"/>
          <w:i/>
          <w:sz w:val="22"/>
          <w:szCs w:val="22"/>
        </w:rPr>
      </w:pPr>
      <w:r w:rsidRPr="00681CB2">
        <w:rPr>
          <w:rFonts w:ascii="Palatino Linotype" w:hAnsi="Palatino Linotype" w:cs="Arial"/>
          <w:i/>
          <w:sz w:val="22"/>
          <w:szCs w:val="22"/>
        </w:rPr>
        <w:t>“</w:t>
      </w:r>
      <w:r w:rsidR="00D5417C" w:rsidRPr="00681CB2">
        <w:rPr>
          <w:rFonts w:ascii="Palatino Linotype" w:hAnsi="Palatino Linotype" w:cs="Arial"/>
          <w:i/>
          <w:sz w:val="22"/>
          <w:szCs w:val="22"/>
        </w:rPr>
        <w:t xml:space="preserve">Le envío en archivo adjunto electrónico, la respuesta a su solicitud de información con número de SAIMEX/00131/OASTLALNE/IP/2018 en el archivo adjunto remiten al Sistema de Información </w:t>
      </w:r>
      <w:proofErr w:type="spellStart"/>
      <w:r w:rsidR="00D5417C" w:rsidRPr="00681CB2">
        <w:rPr>
          <w:rFonts w:ascii="Palatino Linotype" w:hAnsi="Palatino Linotype" w:cs="Arial"/>
          <w:i/>
          <w:sz w:val="22"/>
          <w:szCs w:val="22"/>
        </w:rPr>
        <w:t>Publica</w:t>
      </w:r>
      <w:proofErr w:type="spellEnd"/>
      <w:r w:rsidR="00D5417C" w:rsidRPr="00681CB2">
        <w:rPr>
          <w:rFonts w:ascii="Palatino Linotype" w:hAnsi="Palatino Linotype" w:cs="Arial"/>
          <w:i/>
          <w:sz w:val="22"/>
          <w:szCs w:val="22"/>
        </w:rPr>
        <w:t xml:space="preserve"> de Oficio Mexiquense (IPOMEX), citando la dirección electrónica https://www.ipomex.org.mx/ipo3/lgt/indice/tlalnepantla.web, cabe señalar que la información que deseo compete al Organismo Público Descentralizado para la Prestación de Los Servicios de Agua Potable Alcantarillado y Saneamiento del Municipio de Tlalnepantla de Baz, siendo este un sujeto obligado señalado por el Acuerdo mediante el cual se aprueba el padrón de Sujetos Obligados en materia de Transparencia y Acceso a la Información Pública del Estado de México y Municipios (https://www.infoem.org.mx/doc/acuerdos/Acuerdo_Padron_SO.pdf) del 01 de febrero de 2017, </w:t>
      </w:r>
      <w:proofErr w:type="spellStart"/>
      <w:r w:rsidR="00D5417C" w:rsidRPr="00681CB2">
        <w:rPr>
          <w:rFonts w:ascii="Palatino Linotype" w:hAnsi="Palatino Linotype" w:cs="Arial"/>
          <w:i/>
          <w:sz w:val="22"/>
          <w:szCs w:val="22"/>
        </w:rPr>
        <w:t>ademas</w:t>
      </w:r>
      <w:proofErr w:type="spellEnd"/>
      <w:r w:rsidR="00D5417C" w:rsidRPr="00681CB2">
        <w:rPr>
          <w:rFonts w:ascii="Palatino Linotype" w:hAnsi="Palatino Linotype" w:cs="Arial"/>
          <w:i/>
          <w:sz w:val="22"/>
          <w:szCs w:val="22"/>
        </w:rPr>
        <w:t xml:space="preserve"> de ser perceptible de realizar compras y contar con padrón de proveedores, cosa que no </w:t>
      </w:r>
      <w:proofErr w:type="spellStart"/>
      <w:r w:rsidR="00D5417C" w:rsidRPr="00681CB2">
        <w:rPr>
          <w:rFonts w:ascii="Palatino Linotype" w:hAnsi="Palatino Linotype" w:cs="Arial"/>
          <w:i/>
          <w:sz w:val="22"/>
          <w:szCs w:val="22"/>
        </w:rPr>
        <w:t>esta</w:t>
      </w:r>
      <w:proofErr w:type="spellEnd"/>
      <w:r w:rsidR="00D5417C" w:rsidRPr="00681CB2">
        <w:rPr>
          <w:rFonts w:ascii="Palatino Linotype" w:hAnsi="Palatino Linotype" w:cs="Arial"/>
          <w:i/>
          <w:sz w:val="22"/>
          <w:szCs w:val="22"/>
        </w:rPr>
        <w:t xml:space="preserve"> cargada en su plataforma 2018 y la información vertida en 2015-2017 no se encuentra actualizada.</w:t>
      </w:r>
      <w:r w:rsidRPr="00681CB2">
        <w:rPr>
          <w:rFonts w:ascii="Palatino Linotype" w:hAnsi="Palatino Linotype" w:cs="Arial"/>
          <w:i/>
          <w:sz w:val="22"/>
          <w:szCs w:val="22"/>
        </w:rPr>
        <w:t>” (</w:t>
      </w:r>
      <w:proofErr w:type="gramStart"/>
      <w:r w:rsidRPr="00681CB2">
        <w:rPr>
          <w:rFonts w:ascii="Palatino Linotype" w:hAnsi="Palatino Linotype" w:cs="Arial"/>
          <w:i/>
          <w:sz w:val="22"/>
          <w:szCs w:val="22"/>
        </w:rPr>
        <w:t>sic</w:t>
      </w:r>
      <w:proofErr w:type="gramEnd"/>
      <w:r w:rsidRPr="00681CB2">
        <w:rPr>
          <w:rFonts w:ascii="Palatino Linotype" w:hAnsi="Palatino Linotype" w:cs="Arial"/>
          <w:i/>
          <w:sz w:val="22"/>
          <w:szCs w:val="22"/>
        </w:rPr>
        <w:t>)</w:t>
      </w:r>
    </w:p>
    <w:p w14:paraId="177D82C5" w14:textId="77777777" w:rsidR="009E5A7D" w:rsidRPr="00681CB2" w:rsidRDefault="009E5A7D" w:rsidP="009A65F3">
      <w:pPr>
        <w:spacing w:line="360" w:lineRule="auto"/>
        <w:jc w:val="both"/>
        <w:rPr>
          <w:rFonts w:ascii="Palatino Linotype" w:hAnsi="Palatino Linotype" w:cs="Arial"/>
          <w:b/>
        </w:rPr>
      </w:pPr>
      <w:r w:rsidRPr="00681CB2">
        <w:rPr>
          <w:rFonts w:ascii="Palatino Linotype" w:hAnsi="Palatino Linotype" w:cs="Arial"/>
          <w:b/>
        </w:rPr>
        <w:t>b) Motivos de inconformidad.</w:t>
      </w:r>
    </w:p>
    <w:p w14:paraId="450E8CD1" w14:textId="183EBE52" w:rsidR="009E5A7D" w:rsidRPr="00681CB2" w:rsidRDefault="009E5A7D" w:rsidP="009A65F3">
      <w:pPr>
        <w:spacing w:before="240" w:after="240"/>
        <w:ind w:left="708" w:right="900"/>
        <w:jc w:val="both"/>
        <w:rPr>
          <w:rFonts w:ascii="Palatino Linotype" w:hAnsi="Palatino Linotype" w:cs="Arial"/>
          <w:i/>
          <w:sz w:val="22"/>
          <w:szCs w:val="22"/>
        </w:rPr>
      </w:pPr>
      <w:r w:rsidRPr="00681CB2">
        <w:rPr>
          <w:rFonts w:ascii="Palatino Linotype" w:hAnsi="Palatino Linotype" w:cs="Arial"/>
          <w:i/>
          <w:sz w:val="22"/>
          <w:szCs w:val="22"/>
        </w:rPr>
        <w:t>“</w:t>
      </w:r>
      <w:r w:rsidR="00D5417C" w:rsidRPr="00681CB2">
        <w:rPr>
          <w:rFonts w:ascii="Palatino Linotype" w:hAnsi="Palatino Linotype" w:cs="Arial"/>
          <w:i/>
          <w:sz w:val="22"/>
          <w:szCs w:val="22"/>
        </w:rPr>
        <w:t xml:space="preserve">El sujeto obligado, con fundamento en los artículos 6 de la Constitución Política de los Estados Unidos Mexicanos, 5 de la Constitución Política del Estado Libre y Soberano de México, 12, 23 fracción IV, 24, 25, 59, 92 y demás relativos aplicables de la Ley de Trasparencia y Acceso a la Información Pública del Estado de México y Municipios; 1.41 del Libro Primero, Título Noveno del Código Administrativo del Estado de México, NO DIO RESPUESTA A LA SOLICITUD DE INFORMACIÓN con folio 00016/DIFNAUCAL/IP/2018, argumentando que "la información que solicita no obra en la información de los Archivos del </w:t>
      </w:r>
      <w:proofErr w:type="spellStart"/>
      <w:r w:rsidR="00D5417C" w:rsidRPr="00681CB2">
        <w:rPr>
          <w:rFonts w:ascii="Palatino Linotype" w:hAnsi="Palatino Linotype" w:cs="Arial"/>
          <w:i/>
          <w:sz w:val="22"/>
          <w:szCs w:val="22"/>
        </w:rPr>
        <w:t>Dif</w:t>
      </w:r>
      <w:proofErr w:type="spellEnd"/>
      <w:r w:rsidR="00D5417C" w:rsidRPr="00681CB2">
        <w:rPr>
          <w:rFonts w:ascii="Palatino Linotype" w:hAnsi="Palatino Linotype" w:cs="Arial"/>
          <w:i/>
          <w:sz w:val="22"/>
          <w:szCs w:val="22"/>
        </w:rPr>
        <w:t xml:space="preserve"> </w:t>
      </w:r>
      <w:proofErr w:type="spellStart"/>
      <w:r w:rsidR="00D5417C" w:rsidRPr="00681CB2">
        <w:rPr>
          <w:rFonts w:ascii="Palatino Linotype" w:hAnsi="Palatino Linotype" w:cs="Arial"/>
          <w:i/>
          <w:sz w:val="22"/>
          <w:szCs w:val="22"/>
        </w:rPr>
        <w:t>naucalpan</w:t>
      </w:r>
      <w:proofErr w:type="spellEnd"/>
      <w:r w:rsidR="00D5417C" w:rsidRPr="00681CB2">
        <w:rPr>
          <w:rFonts w:ascii="Palatino Linotype" w:hAnsi="Palatino Linotype" w:cs="Arial"/>
          <w:i/>
          <w:sz w:val="22"/>
          <w:szCs w:val="22"/>
        </w:rPr>
        <w:t xml:space="preserve">, solicítelo al H ayuntamiento de Naucalpan de Juárez. </w:t>
      </w:r>
      <w:proofErr w:type="gramStart"/>
      <w:r w:rsidR="00D5417C" w:rsidRPr="00681CB2">
        <w:rPr>
          <w:rFonts w:ascii="Palatino Linotype" w:hAnsi="Palatino Linotype" w:cs="Arial"/>
          <w:i/>
          <w:sz w:val="22"/>
          <w:szCs w:val="22"/>
        </w:rPr>
        <w:t>nosotros</w:t>
      </w:r>
      <w:proofErr w:type="gramEnd"/>
      <w:r w:rsidR="00D5417C" w:rsidRPr="00681CB2">
        <w:rPr>
          <w:rFonts w:ascii="Palatino Linotype" w:hAnsi="Palatino Linotype" w:cs="Arial"/>
          <w:i/>
          <w:sz w:val="22"/>
          <w:szCs w:val="22"/>
        </w:rPr>
        <w:t xml:space="preserve"> solo contenemos información referente a las actividades de "DIF" </w:t>
      </w:r>
      <w:proofErr w:type="spellStart"/>
      <w:r w:rsidR="00D5417C" w:rsidRPr="00681CB2">
        <w:rPr>
          <w:rFonts w:ascii="Palatino Linotype" w:hAnsi="Palatino Linotype" w:cs="Arial"/>
          <w:i/>
          <w:sz w:val="22"/>
          <w:szCs w:val="22"/>
        </w:rPr>
        <w:t>naucalpan</w:t>
      </w:r>
      <w:proofErr w:type="spellEnd"/>
      <w:r w:rsidR="00D5417C" w:rsidRPr="00681CB2">
        <w:rPr>
          <w:rFonts w:ascii="Palatino Linotype" w:hAnsi="Palatino Linotype" w:cs="Arial"/>
          <w:i/>
          <w:sz w:val="22"/>
          <w:szCs w:val="22"/>
        </w:rPr>
        <w:t xml:space="preserve">." SIC Al </w:t>
      </w:r>
      <w:r w:rsidR="00D5417C" w:rsidRPr="00681CB2">
        <w:rPr>
          <w:rFonts w:ascii="Palatino Linotype" w:hAnsi="Palatino Linotype" w:cs="Arial"/>
          <w:i/>
          <w:sz w:val="22"/>
          <w:szCs w:val="22"/>
        </w:rPr>
        <w:lastRenderedPageBreak/>
        <w:t>respecto, me inconformo, con la respuesta, toda vez que de acuerdo con las obligaciones de transparencia comunes señaladas en el artículo 92 fracción XXIX de la Ley de Transparencia y Acceso a la Información del Estado de México y Municipios, el sujeto obligado no cuenta con información alguna correspondiente a los procesos de adjudicación y licitación durante el ejercicio fiscal 2018, por lo que me es imposible obtener lo que deseo.</w:t>
      </w:r>
      <w:r w:rsidRPr="00681CB2">
        <w:rPr>
          <w:rFonts w:ascii="Palatino Linotype" w:hAnsi="Palatino Linotype" w:cs="Arial"/>
          <w:i/>
          <w:sz w:val="22"/>
          <w:szCs w:val="22"/>
        </w:rPr>
        <w:t>” (</w:t>
      </w:r>
      <w:proofErr w:type="gramStart"/>
      <w:r w:rsidRPr="00681CB2">
        <w:rPr>
          <w:rFonts w:ascii="Palatino Linotype" w:hAnsi="Palatino Linotype" w:cs="Arial"/>
          <w:i/>
          <w:sz w:val="22"/>
          <w:szCs w:val="22"/>
        </w:rPr>
        <w:t>sic</w:t>
      </w:r>
      <w:proofErr w:type="gramEnd"/>
      <w:r w:rsidRPr="00681CB2">
        <w:rPr>
          <w:rFonts w:ascii="Palatino Linotype" w:hAnsi="Palatino Linotype" w:cs="Arial"/>
          <w:i/>
          <w:sz w:val="22"/>
          <w:szCs w:val="22"/>
        </w:rPr>
        <w:t>)</w:t>
      </w:r>
    </w:p>
    <w:p w14:paraId="30960AC9" w14:textId="657BC258" w:rsidR="009D2140" w:rsidRPr="00681CB2" w:rsidRDefault="004D422B" w:rsidP="009A65F3">
      <w:pPr>
        <w:spacing w:before="240" w:after="240" w:line="360" w:lineRule="auto"/>
        <w:jc w:val="both"/>
        <w:rPr>
          <w:rFonts w:ascii="Palatino Linotype" w:hAnsi="Palatino Linotype"/>
        </w:rPr>
      </w:pPr>
      <w:r w:rsidRPr="00681CB2">
        <w:rPr>
          <w:rFonts w:ascii="Palatino Linotype" w:hAnsi="Palatino Linotype"/>
          <w:b/>
        </w:rPr>
        <w:t>4</w:t>
      </w:r>
      <w:r w:rsidR="00A93331" w:rsidRPr="00681CB2">
        <w:rPr>
          <w:rFonts w:ascii="Palatino Linotype" w:hAnsi="Palatino Linotype"/>
          <w:b/>
        </w:rPr>
        <w:t xml:space="preserve">. Turno. </w:t>
      </w:r>
      <w:r w:rsidR="00A93331" w:rsidRPr="00681CB2">
        <w:rPr>
          <w:rFonts w:ascii="Palatino Linotype" w:hAnsi="Palatino Linotype"/>
        </w:rPr>
        <w:t xml:space="preserve">De conformidad con el artículo 185, fracción I de la </w:t>
      </w:r>
      <w:r w:rsidR="009D2140" w:rsidRPr="00681CB2">
        <w:rPr>
          <w:rFonts w:ascii="Palatino Linotype" w:hAnsi="Palatino Linotype" w:cs="Arial"/>
        </w:rPr>
        <w:t xml:space="preserve">Ley de Transparencia </w:t>
      </w:r>
      <w:r w:rsidR="00A93331" w:rsidRPr="00681CB2">
        <w:rPr>
          <w:rFonts w:ascii="Palatino Linotype" w:hAnsi="Palatino Linotype" w:cs="Arial"/>
        </w:rPr>
        <w:t xml:space="preserve">y Acceso a la Información Pública del Estado de México y Municipios, el recurso de revisión número </w:t>
      </w:r>
      <w:r w:rsidR="00A01587" w:rsidRPr="00681CB2">
        <w:rPr>
          <w:rFonts w:ascii="Palatino Linotype" w:hAnsi="Palatino Linotype" w:cs="Arial"/>
          <w:b/>
        </w:rPr>
        <w:t>03316</w:t>
      </w:r>
      <w:r w:rsidR="00EB4790" w:rsidRPr="00681CB2">
        <w:rPr>
          <w:rFonts w:ascii="Palatino Linotype" w:hAnsi="Palatino Linotype" w:cs="Arial"/>
          <w:b/>
        </w:rPr>
        <w:t>/INFOEM/IP/RR/2018</w:t>
      </w:r>
      <w:r w:rsidR="00A93331" w:rsidRPr="00681CB2">
        <w:rPr>
          <w:rFonts w:ascii="Palatino Linotype" w:hAnsi="Palatino Linotype" w:cs="Arial"/>
          <w:b/>
        </w:rPr>
        <w:t xml:space="preserve"> </w:t>
      </w:r>
      <w:r w:rsidR="00A93331" w:rsidRPr="00681CB2">
        <w:rPr>
          <w:rFonts w:ascii="Palatino Linotype" w:hAnsi="Palatino Linotype" w:cs="Arial"/>
          <w:bCs/>
          <w:lang w:eastAsia="es-MX"/>
        </w:rPr>
        <w:t>fue</w:t>
      </w:r>
      <w:r w:rsidR="00A93331" w:rsidRPr="00681CB2">
        <w:rPr>
          <w:rFonts w:ascii="Palatino Linotype" w:hAnsi="Palatino Linotype" w:cs="Arial"/>
          <w:b/>
          <w:bCs/>
          <w:lang w:eastAsia="es-MX"/>
        </w:rPr>
        <w:t xml:space="preserve"> </w:t>
      </w:r>
      <w:r w:rsidR="00A93331" w:rsidRPr="00681CB2">
        <w:rPr>
          <w:rFonts w:ascii="Palatino Linotype" w:hAnsi="Palatino Linotype"/>
        </w:rPr>
        <w:t xml:space="preserve">turnado al Comisionado ponente, a efecto de que analizara sobre su admisión o su </w:t>
      </w:r>
      <w:r w:rsidR="009D2140" w:rsidRPr="00681CB2">
        <w:rPr>
          <w:rFonts w:ascii="Palatino Linotype" w:hAnsi="Palatino Linotype"/>
        </w:rPr>
        <w:t>desechamiento.</w:t>
      </w:r>
    </w:p>
    <w:p w14:paraId="2F1123DE" w14:textId="6C05D3C0" w:rsidR="00A93331" w:rsidRPr="00681CB2" w:rsidRDefault="004D422B" w:rsidP="009A65F3">
      <w:pPr>
        <w:spacing w:before="240" w:after="240" w:line="360" w:lineRule="auto"/>
        <w:jc w:val="both"/>
        <w:rPr>
          <w:rFonts w:ascii="Palatino Linotype" w:hAnsi="Palatino Linotype" w:cs="Arial"/>
        </w:rPr>
      </w:pPr>
      <w:r w:rsidRPr="00681CB2">
        <w:rPr>
          <w:rFonts w:ascii="Palatino Linotype" w:hAnsi="Palatino Linotype" w:cs="Arial"/>
          <w:b/>
        </w:rPr>
        <w:t>5</w:t>
      </w:r>
      <w:r w:rsidR="00A93331" w:rsidRPr="00681CB2">
        <w:rPr>
          <w:rFonts w:ascii="Palatino Linotype" w:hAnsi="Palatino Linotype" w:cs="Arial"/>
          <w:b/>
        </w:rPr>
        <w:t xml:space="preserve">. Admisión del recurso de revisión: </w:t>
      </w:r>
      <w:r w:rsidR="005F1715" w:rsidRPr="00681CB2">
        <w:rPr>
          <w:rFonts w:ascii="Palatino Linotype" w:hAnsi="Palatino Linotype" w:cs="Arial"/>
        </w:rPr>
        <w:t xml:space="preserve">En fecha </w:t>
      </w:r>
      <w:r w:rsidR="00A01587" w:rsidRPr="00681CB2">
        <w:rPr>
          <w:rFonts w:ascii="Palatino Linotype" w:hAnsi="Palatino Linotype" w:cs="Arial"/>
        </w:rPr>
        <w:t>doce</w:t>
      </w:r>
      <w:r w:rsidR="00EB4790" w:rsidRPr="00681CB2">
        <w:rPr>
          <w:rFonts w:ascii="Palatino Linotype" w:hAnsi="Palatino Linotype" w:cs="Arial"/>
        </w:rPr>
        <w:t xml:space="preserve"> </w:t>
      </w:r>
      <w:r w:rsidR="00A93331" w:rsidRPr="00681CB2">
        <w:rPr>
          <w:rFonts w:ascii="Palatino Linotype" w:hAnsi="Palatino Linotype" w:cs="Arial"/>
        </w:rPr>
        <w:t>de</w:t>
      </w:r>
      <w:r w:rsidR="003B4AEA" w:rsidRPr="00681CB2">
        <w:rPr>
          <w:rFonts w:ascii="Palatino Linotype" w:hAnsi="Palatino Linotype" w:cs="Arial"/>
        </w:rPr>
        <w:t xml:space="preserve"> </w:t>
      </w:r>
      <w:r w:rsidR="00A01587" w:rsidRPr="00681CB2">
        <w:rPr>
          <w:rFonts w:ascii="Palatino Linotype" w:hAnsi="Palatino Linotype" w:cs="Arial"/>
        </w:rPr>
        <w:t xml:space="preserve">septiembre </w:t>
      </w:r>
      <w:r w:rsidR="00155EE8" w:rsidRPr="00681CB2">
        <w:rPr>
          <w:rFonts w:ascii="Palatino Linotype" w:hAnsi="Palatino Linotype" w:cs="Arial"/>
        </w:rPr>
        <w:t>de dos mil dieci</w:t>
      </w:r>
      <w:r w:rsidR="00EB4790" w:rsidRPr="00681CB2">
        <w:rPr>
          <w:rFonts w:ascii="Palatino Linotype" w:hAnsi="Palatino Linotype" w:cs="Arial"/>
        </w:rPr>
        <w:t>ocho</w:t>
      </w:r>
      <w:r w:rsidR="00A93331" w:rsidRPr="00681CB2">
        <w:rPr>
          <w:rFonts w:ascii="Palatino Linotype" w:hAnsi="Palatino Linotype" w:cs="Arial"/>
        </w:rPr>
        <w:t>,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3CDE1E8A" w14:textId="6E67AA8E" w:rsidR="006F1EF3" w:rsidRPr="00681CB2" w:rsidRDefault="004D422B" w:rsidP="00A01587">
      <w:pPr>
        <w:spacing w:before="240" w:after="240" w:line="360" w:lineRule="auto"/>
        <w:jc w:val="both"/>
        <w:rPr>
          <w:rFonts w:ascii="Palatino Linotype" w:hAnsi="Palatino Linotype" w:cs="Arial"/>
        </w:rPr>
      </w:pPr>
      <w:r w:rsidRPr="00681CB2">
        <w:rPr>
          <w:rFonts w:ascii="Palatino Linotype" w:hAnsi="Palatino Linotype" w:cs="Arial"/>
          <w:b/>
        </w:rPr>
        <w:t>6</w:t>
      </w:r>
      <w:r w:rsidR="00A93331" w:rsidRPr="00681CB2">
        <w:rPr>
          <w:rFonts w:ascii="Palatino Linotype" w:hAnsi="Palatino Linotype" w:cs="Arial"/>
          <w:b/>
        </w:rPr>
        <w:t xml:space="preserve">. Manifestaciones: </w:t>
      </w:r>
      <w:r w:rsidR="00A01587" w:rsidRPr="00681CB2">
        <w:rPr>
          <w:rFonts w:ascii="Palatino Linotype" w:hAnsi="Palatino Linotype" w:cs="Arial"/>
        </w:rPr>
        <w:t>De las constancias que integran el expediente en que se actúa, se advierte que el Sujeto Obligado en fecha diecisiete de septiembre de dos mil dieciocho hizo valer sus manifestaciones adjuntado dos archivos denominados “OFICIO COMISIONADO SAIMEX 131.pdf” y “CONTESTACIÓN FINANZAS SAIMEX 131 RR.pdf”</w:t>
      </w:r>
      <w:r w:rsidR="006F1EF3" w:rsidRPr="00681CB2">
        <w:rPr>
          <w:rFonts w:ascii="Palatino Linotype" w:hAnsi="Palatino Linotype" w:cs="Arial"/>
        </w:rPr>
        <w:t>, el primer archivo</w:t>
      </w:r>
      <w:r w:rsidR="001B7042" w:rsidRPr="00681CB2">
        <w:rPr>
          <w:rFonts w:ascii="Palatino Linotype" w:hAnsi="Palatino Linotype" w:cs="Arial"/>
        </w:rPr>
        <w:t xml:space="preserve"> contiene el oficio OPDM/UT/0893</w:t>
      </w:r>
      <w:r w:rsidR="006F1EF3" w:rsidRPr="00681CB2">
        <w:rPr>
          <w:rFonts w:ascii="Palatino Linotype" w:hAnsi="Palatino Linotype" w:cs="Arial"/>
        </w:rPr>
        <w:t xml:space="preserve">/2018 mediante el cual el Titular de la Unidad de Transparencia informa al Comisionado </w:t>
      </w:r>
      <w:r w:rsidR="006F1EF3" w:rsidRPr="00681CB2">
        <w:rPr>
          <w:rFonts w:ascii="Palatino Linotype" w:hAnsi="Palatino Linotype" w:cs="Arial"/>
        </w:rPr>
        <w:lastRenderedPageBreak/>
        <w:t>Ponente que dará contestación al recurso de revisión, en el segundo archivo se encuentra el oficio OPDM/DAFC/1524/2018 a través del cual la Directora de Administración, Finanzas y Comercialización envía su respuesta al Titular de la Unidad de Transparencia.</w:t>
      </w:r>
    </w:p>
    <w:p w14:paraId="0597CA11" w14:textId="60F9EE0B" w:rsidR="00A01587" w:rsidRPr="00681CB2" w:rsidRDefault="006F1EF3" w:rsidP="00A01587">
      <w:pPr>
        <w:spacing w:before="240" w:after="240" w:line="360" w:lineRule="auto"/>
        <w:jc w:val="both"/>
        <w:rPr>
          <w:rFonts w:ascii="Palatino Linotype" w:hAnsi="Palatino Linotype" w:cs="Arial"/>
        </w:rPr>
      </w:pPr>
      <w:r w:rsidRPr="00681CB2">
        <w:rPr>
          <w:rFonts w:ascii="Palatino Linotype" w:hAnsi="Palatino Linotype" w:cs="Arial"/>
        </w:rPr>
        <w:t xml:space="preserve">Al modificar su respuesta </w:t>
      </w:r>
      <w:r w:rsidR="00A01587" w:rsidRPr="00681CB2">
        <w:rPr>
          <w:rFonts w:ascii="Palatino Linotype" w:hAnsi="Palatino Linotype" w:cs="Arial"/>
        </w:rPr>
        <w:t>inicial fue necesario ponerlo a la vista del recurrente</w:t>
      </w:r>
      <w:r w:rsidRPr="00681CB2">
        <w:rPr>
          <w:rFonts w:ascii="Palatino Linotype" w:hAnsi="Palatino Linotype" w:cs="Arial"/>
        </w:rPr>
        <w:t xml:space="preserve"> en fecha veinticinco de septiembre de dos mil dieciocho por</w:t>
      </w:r>
      <w:r w:rsidR="00A01587" w:rsidRPr="00681CB2">
        <w:rPr>
          <w:rFonts w:ascii="Palatino Linotype" w:hAnsi="Palatino Linotype" w:cs="Arial"/>
        </w:rPr>
        <w:t xml:space="preserve"> actualizarse el supuesto que contempla el artículo 185, fracción III de la Ley de Transparencia y Acceso a la Información Pública del Estado de México y Municipios. </w:t>
      </w:r>
    </w:p>
    <w:p w14:paraId="2B2FAD44" w14:textId="77777777" w:rsidR="00A01587" w:rsidRPr="00681CB2" w:rsidRDefault="00A01587" w:rsidP="00A01587">
      <w:pPr>
        <w:spacing w:before="240" w:after="240" w:line="360" w:lineRule="auto"/>
        <w:jc w:val="both"/>
        <w:rPr>
          <w:rFonts w:ascii="Palatino Linotype" w:hAnsi="Palatino Linotype" w:cs="Arial"/>
        </w:rPr>
      </w:pPr>
      <w:r w:rsidRPr="00681CB2">
        <w:rPr>
          <w:rFonts w:ascii="Palatino Linotype" w:hAnsi="Palatino Linotype" w:cs="Arial"/>
        </w:rPr>
        <w:t>Por su parte, el recurrente fue omiso en realizar manifestación alguna.</w:t>
      </w:r>
    </w:p>
    <w:p w14:paraId="4726ABC6" w14:textId="53FBBA78" w:rsidR="00A93331" w:rsidRPr="00681CB2" w:rsidRDefault="004D422B" w:rsidP="003B4AEA">
      <w:pPr>
        <w:spacing w:after="240" w:line="360" w:lineRule="auto"/>
        <w:jc w:val="both"/>
        <w:rPr>
          <w:rFonts w:ascii="Palatino Linotype" w:hAnsi="Palatino Linotype"/>
        </w:rPr>
      </w:pPr>
      <w:r w:rsidRPr="00681CB2">
        <w:rPr>
          <w:rFonts w:ascii="Palatino Linotype" w:hAnsi="Palatino Linotype"/>
          <w:b/>
        </w:rPr>
        <w:t>7</w:t>
      </w:r>
      <w:r w:rsidR="00A93331" w:rsidRPr="00681CB2">
        <w:rPr>
          <w:rFonts w:ascii="Palatino Linotype" w:hAnsi="Palatino Linotype"/>
          <w:b/>
        </w:rPr>
        <w:t xml:space="preserve">. Cierre de instrucción. </w:t>
      </w:r>
      <w:r w:rsidR="005F1715" w:rsidRPr="00681CB2">
        <w:rPr>
          <w:rFonts w:ascii="Palatino Linotype" w:hAnsi="Palatino Linotype"/>
        </w:rPr>
        <w:t xml:space="preserve">En fecha </w:t>
      </w:r>
      <w:r w:rsidR="00C56217" w:rsidRPr="00681CB2">
        <w:rPr>
          <w:rFonts w:ascii="Palatino Linotype" w:hAnsi="Palatino Linotype"/>
        </w:rPr>
        <w:t xml:space="preserve">uno </w:t>
      </w:r>
      <w:r w:rsidR="009D2140" w:rsidRPr="00681CB2">
        <w:rPr>
          <w:rFonts w:ascii="Palatino Linotype" w:hAnsi="Palatino Linotype"/>
        </w:rPr>
        <w:t>de</w:t>
      </w:r>
      <w:r w:rsidR="00A9137F" w:rsidRPr="00681CB2">
        <w:rPr>
          <w:rFonts w:ascii="Palatino Linotype" w:hAnsi="Palatino Linotype"/>
        </w:rPr>
        <w:t xml:space="preserve"> </w:t>
      </w:r>
      <w:r w:rsidR="00C56217" w:rsidRPr="00681CB2">
        <w:rPr>
          <w:rFonts w:ascii="Palatino Linotype" w:hAnsi="Palatino Linotype"/>
        </w:rPr>
        <w:t xml:space="preserve">octubre </w:t>
      </w:r>
      <w:r w:rsidR="009A6C40" w:rsidRPr="00681CB2">
        <w:rPr>
          <w:rFonts w:ascii="Palatino Linotype" w:hAnsi="Palatino Linotype"/>
        </w:rPr>
        <w:t>de dos mil dieci</w:t>
      </w:r>
      <w:r w:rsidR="00051C4C" w:rsidRPr="00681CB2">
        <w:rPr>
          <w:rFonts w:ascii="Palatino Linotype" w:hAnsi="Palatino Linotype"/>
        </w:rPr>
        <w:t>ocho</w:t>
      </w:r>
      <w:r w:rsidR="00A93331" w:rsidRPr="00681CB2">
        <w:rPr>
          <w:rFonts w:ascii="Palatino Linotype" w:hAnsi="Palatino Linotype"/>
        </w:rPr>
        <w:t xml:space="preserve"> el Comisionado ponente determinó el cierre de instrucción en términos de la fracción VI  del artículo 18</w:t>
      </w:r>
      <w:r w:rsidR="009A6C40" w:rsidRPr="00681CB2">
        <w:rPr>
          <w:rFonts w:ascii="Palatino Linotype" w:hAnsi="Palatino Linotype"/>
        </w:rPr>
        <w:t>5 de la Ley de Transparencia y Acceso a la I</w:t>
      </w:r>
      <w:r w:rsidR="00A93331" w:rsidRPr="00681CB2">
        <w:rPr>
          <w:rFonts w:ascii="Palatino Linotype" w:hAnsi="Palatino Linotype"/>
        </w:rPr>
        <w:t>nformación Pública del Estado de México y Municipios.</w:t>
      </w:r>
    </w:p>
    <w:p w14:paraId="4D65CB86" w14:textId="77777777" w:rsidR="009E5A7D" w:rsidRPr="00681CB2" w:rsidRDefault="009E5A7D" w:rsidP="00E84B75">
      <w:pPr>
        <w:pStyle w:val="Prrafodelista"/>
        <w:numPr>
          <w:ilvl w:val="0"/>
          <w:numId w:val="1"/>
        </w:numPr>
        <w:spacing w:before="240" w:after="240" w:line="360" w:lineRule="auto"/>
        <w:ind w:left="720"/>
        <w:contextualSpacing/>
        <w:jc w:val="center"/>
        <w:rPr>
          <w:rFonts w:ascii="Palatino Linotype" w:hAnsi="Palatino Linotype" w:cs="Arial"/>
          <w:b/>
        </w:rPr>
      </w:pPr>
      <w:r w:rsidRPr="00681CB2">
        <w:rPr>
          <w:rFonts w:ascii="Palatino Linotype" w:hAnsi="Palatino Linotype" w:cs="Arial"/>
          <w:b/>
        </w:rPr>
        <w:t>C O N S I D E R A N D O:</w:t>
      </w:r>
    </w:p>
    <w:p w14:paraId="28FC08F3" w14:textId="7780A7EC" w:rsidR="00A93331" w:rsidRPr="00681CB2" w:rsidRDefault="00A93331" w:rsidP="009A65F3">
      <w:pPr>
        <w:spacing w:before="240" w:after="240" w:line="360" w:lineRule="auto"/>
        <w:jc w:val="both"/>
        <w:rPr>
          <w:rFonts w:ascii="Palatino Linotype" w:hAnsi="Palatino Linotype"/>
          <w:shd w:val="clear" w:color="auto" w:fill="FFFFFF"/>
        </w:rPr>
      </w:pPr>
      <w:r w:rsidRPr="00681CB2">
        <w:rPr>
          <w:rFonts w:ascii="Palatino Linotype" w:hAnsi="Palatino Linotype" w:cs="Arial"/>
          <w:b/>
        </w:rPr>
        <w:t xml:space="preserve">Primero. Competencia. </w:t>
      </w:r>
      <w:r w:rsidRPr="00681CB2">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6B0DBD" w:rsidRPr="00681CB2">
        <w:rPr>
          <w:rFonts w:ascii="Palatino Linotype" w:hAnsi="Palatino Linotype"/>
          <w:shd w:val="clear" w:color="auto" w:fill="FFFFFF"/>
        </w:rPr>
        <w:t>vigésimo</w:t>
      </w:r>
      <w:r w:rsidRPr="00681CB2">
        <w:rPr>
          <w:rFonts w:ascii="Palatino Linotype" w:hAnsi="Palatino Linotype"/>
          <w:shd w:val="clear" w:color="auto" w:fill="FFFFFF"/>
        </w:rPr>
        <w:t xml:space="preserve">, </w:t>
      </w:r>
      <w:r w:rsidR="006B0DBD" w:rsidRPr="00681CB2">
        <w:rPr>
          <w:rFonts w:ascii="Palatino Linotype" w:hAnsi="Palatino Linotype"/>
          <w:shd w:val="clear" w:color="auto" w:fill="FFFFFF"/>
        </w:rPr>
        <w:t>vigésimo primero</w:t>
      </w:r>
      <w:r w:rsidRPr="00681CB2">
        <w:rPr>
          <w:rFonts w:ascii="Palatino Linotype" w:hAnsi="Palatino Linotype"/>
          <w:shd w:val="clear" w:color="auto" w:fill="FFFFFF"/>
        </w:rPr>
        <w:t xml:space="preserve"> y </w:t>
      </w:r>
      <w:r w:rsidR="006B0DBD" w:rsidRPr="00681CB2">
        <w:rPr>
          <w:rFonts w:ascii="Palatino Linotype" w:hAnsi="Palatino Linotype"/>
          <w:shd w:val="clear" w:color="auto" w:fill="FFFFFF"/>
        </w:rPr>
        <w:t>vigésimo segundo, fracciones</w:t>
      </w:r>
      <w:r w:rsidRPr="00681CB2">
        <w:rPr>
          <w:rFonts w:ascii="Palatino Linotype" w:hAnsi="Palatino Linotype"/>
          <w:shd w:val="clear" w:color="auto" w:fill="FFFFFF"/>
        </w:rPr>
        <w:t xml:space="preserve"> IV y V de la Constitución Política del Estado Libre y Soberano </w:t>
      </w:r>
      <w:r w:rsidRPr="00681CB2">
        <w:rPr>
          <w:rFonts w:ascii="Palatino Linotype" w:hAnsi="Palatino Linotype"/>
          <w:shd w:val="clear" w:color="auto" w:fill="FFFFFF"/>
        </w:rPr>
        <w:lastRenderedPageBreak/>
        <w:t>de México; 1, 2, fracción II; 13,  29, 36, fracciones I y II; 176, 178, 179, 181 párrafo tercero y 185 de la Ley Transparencia y Acceso a la Información Pública del Estado de México y Municipios;</w:t>
      </w:r>
      <w:r w:rsidRPr="00681CB2">
        <w:rPr>
          <w:rStyle w:val="apple-converted-space"/>
          <w:rFonts w:ascii="Palatino Linotype" w:hAnsi="Palatino Linotype"/>
          <w:shd w:val="clear" w:color="auto" w:fill="FFFFFF"/>
        </w:rPr>
        <w:t> </w:t>
      </w:r>
      <w:r w:rsidR="009A6C40" w:rsidRPr="00681CB2">
        <w:rPr>
          <w:rFonts w:ascii="Palatino Linotype" w:hAnsi="Palatino Linotype" w:cs="Arial"/>
        </w:rPr>
        <w:t xml:space="preserve">9, fracciones I y XXIV y 11 </w:t>
      </w:r>
      <w:r w:rsidRPr="00681CB2">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74A428D7" w14:textId="0130D0CD" w:rsidR="006D18C3" w:rsidRPr="00681CB2" w:rsidRDefault="006D18C3" w:rsidP="006D18C3">
      <w:pPr>
        <w:spacing w:before="240" w:after="240" w:line="360" w:lineRule="auto"/>
        <w:jc w:val="both"/>
        <w:rPr>
          <w:rFonts w:ascii="Palatino Linotype" w:hAnsi="Palatino Linotype" w:cs="Arial"/>
        </w:rPr>
      </w:pPr>
      <w:r w:rsidRPr="00681CB2">
        <w:rPr>
          <w:rFonts w:ascii="Palatino Linotype" w:hAnsi="Palatino Linotype" w:cs="Arial"/>
          <w:b/>
        </w:rPr>
        <w:t xml:space="preserve">Segundo. Oportunidad y </w:t>
      </w:r>
      <w:proofErr w:type="spellStart"/>
      <w:r w:rsidRPr="00681CB2">
        <w:rPr>
          <w:rFonts w:ascii="Palatino Linotype" w:hAnsi="Palatino Linotype" w:cs="Arial"/>
          <w:b/>
        </w:rPr>
        <w:t>Procedibilidad</w:t>
      </w:r>
      <w:proofErr w:type="spellEnd"/>
      <w:r w:rsidRPr="00681CB2">
        <w:rPr>
          <w:rFonts w:ascii="Palatino Linotype" w:hAnsi="Palatino Linotype" w:cs="Arial"/>
          <w:b/>
        </w:rPr>
        <w:t xml:space="preserve"> del Recurso de Revisión</w:t>
      </w:r>
      <w:r w:rsidRPr="00681CB2">
        <w:rPr>
          <w:rFonts w:ascii="Palatino Linotype" w:hAnsi="Palatino Linotype" w:cs="Arial"/>
        </w:rPr>
        <w:t xml:space="preserve">. De conformidad con los requisitos de oportunidad y </w:t>
      </w:r>
      <w:proofErr w:type="spellStart"/>
      <w:r w:rsidRPr="00681CB2">
        <w:rPr>
          <w:rFonts w:ascii="Palatino Linotype" w:hAnsi="Palatino Linotype" w:cs="Arial"/>
        </w:rPr>
        <w:t>procedibilidad</w:t>
      </w:r>
      <w:proofErr w:type="spellEnd"/>
      <w:r w:rsidRPr="00681CB2">
        <w:rPr>
          <w:rFonts w:ascii="Palatino Linotype" w:hAnsi="Palatino Linotype" w:cs="Arial"/>
        </w:rPr>
        <w:t xml:space="preserve"> que deben reunir los recursos de revisión interpuestos, previstos en los artículos 178 y 180 de la </w:t>
      </w:r>
      <w:r w:rsidRPr="00681CB2">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respuesta respecto de la solicitud planteada por el solicitante en fecha </w:t>
      </w:r>
      <w:r w:rsidR="00EC594B" w:rsidRPr="00681CB2">
        <w:rPr>
          <w:rFonts w:ascii="Palatino Linotype" w:hAnsi="Palatino Linotype" w:cs="Arial"/>
          <w:lang w:eastAsia="es-MX"/>
        </w:rPr>
        <w:t xml:space="preserve">treinta y </w:t>
      </w:r>
      <w:r w:rsidRPr="00681CB2">
        <w:rPr>
          <w:rFonts w:ascii="Palatino Linotype" w:hAnsi="Palatino Linotype" w:cs="Arial"/>
          <w:lang w:eastAsia="es-MX"/>
        </w:rPr>
        <w:t xml:space="preserve">uno de agosto del año dos mil dieciocho y el recurrente presentó recurso de revisión el </w:t>
      </w:r>
      <w:r w:rsidR="00EC594B" w:rsidRPr="00681CB2">
        <w:rPr>
          <w:rFonts w:ascii="Palatino Linotype" w:hAnsi="Palatino Linotype" w:cs="Arial"/>
          <w:lang w:eastAsia="es-MX"/>
        </w:rPr>
        <w:t>seis</w:t>
      </w:r>
      <w:r w:rsidRPr="00681CB2">
        <w:rPr>
          <w:rFonts w:ascii="Palatino Linotype" w:hAnsi="Palatino Linotype" w:cs="Arial"/>
          <w:lang w:eastAsia="es-MX"/>
        </w:rPr>
        <w:t xml:space="preserve"> de </w:t>
      </w:r>
      <w:r w:rsidR="00EC594B" w:rsidRPr="00681CB2">
        <w:rPr>
          <w:rFonts w:ascii="Palatino Linotype" w:hAnsi="Palatino Linotype" w:cs="Arial"/>
          <w:lang w:eastAsia="es-MX"/>
        </w:rPr>
        <w:t xml:space="preserve">septiembre </w:t>
      </w:r>
      <w:r w:rsidRPr="00681CB2">
        <w:rPr>
          <w:rFonts w:ascii="Palatino Linotype" w:hAnsi="Palatino Linotype" w:cs="Arial"/>
          <w:lang w:eastAsia="es-MX"/>
        </w:rPr>
        <w:t xml:space="preserve">del mismo año, esto es al </w:t>
      </w:r>
      <w:r w:rsidR="00EC594B" w:rsidRPr="00681CB2">
        <w:rPr>
          <w:rFonts w:ascii="Palatino Linotype" w:hAnsi="Palatino Linotype" w:cs="Arial"/>
          <w:lang w:eastAsia="es-MX"/>
        </w:rPr>
        <w:t>cuart</w:t>
      </w:r>
      <w:r w:rsidRPr="00681CB2">
        <w:rPr>
          <w:rFonts w:ascii="Palatino Linotype" w:hAnsi="Palatino Linotype" w:cs="Arial"/>
          <w:lang w:eastAsia="es-MX"/>
        </w:rPr>
        <w:t>o día hábil siguiente de aquel en que tuvo conocimiento del acto impugnado</w:t>
      </w:r>
      <w:r w:rsidRPr="00681CB2">
        <w:rPr>
          <w:rFonts w:ascii="Palatino Linotype" w:hAnsi="Palatino Linotype" w:cs="Arial"/>
          <w:shd w:val="clear" w:color="auto" w:fill="FFFFFF"/>
        </w:rPr>
        <w:t>;</w:t>
      </w:r>
      <w:r w:rsidRPr="00681CB2">
        <w:rPr>
          <w:rFonts w:ascii="Palatino Linotype" w:hAnsi="Palatino Linotype" w:cs="Arial"/>
          <w:lang w:eastAsia="es-MX"/>
        </w:rPr>
        <w:t xml:space="preserve"> evidenciándose que la interposición del recurso se</w:t>
      </w:r>
      <w:r w:rsidRPr="00681CB2">
        <w:rPr>
          <w:rFonts w:ascii="Palatino Linotype" w:hAnsi="Palatino Linotype" w:cs="Arial"/>
        </w:rPr>
        <w:t xml:space="preserve"> encuentra dentro de los márgenes temporales previstos en el citado precepto legal.</w:t>
      </w:r>
    </w:p>
    <w:p w14:paraId="58BFAE8C" w14:textId="77777777" w:rsidR="006D18C3" w:rsidRPr="00681CB2" w:rsidRDefault="006D18C3" w:rsidP="006D18C3">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681CB2">
        <w:rPr>
          <w:rFonts w:ascii="Palatino Linotype" w:hAnsi="Palatino Linotype" w:cs="Arial"/>
        </w:rPr>
        <w:t xml:space="preserve">Así también por cuanto hace a la </w:t>
      </w:r>
      <w:proofErr w:type="spellStart"/>
      <w:r w:rsidRPr="00681CB2">
        <w:rPr>
          <w:rFonts w:ascii="Palatino Linotype" w:hAnsi="Palatino Linotype" w:cs="Arial"/>
        </w:rPr>
        <w:t>procedibilidad</w:t>
      </w:r>
      <w:proofErr w:type="spellEnd"/>
      <w:r w:rsidRPr="00681CB2">
        <w:rPr>
          <w:rFonts w:ascii="Palatino Linotype" w:hAnsi="Palatino Linotype" w:cs="Arial"/>
        </w:rPr>
        <w:t xml:space="preserve"> del recurso de revisión una vez realizado el análisis  del formato de interposición</w:t>
      </w:r>
      <w:r w:rsidRPr="00681CB2">
        <w:rPr>
          <w:rStyle w:val="normaltextrun"/>
          <w:rFonts w:ascii="Palatino Linotype" w:hAnsi="Palatino Linotype" w:cs="Segoe UI"/>
        </w:rPr>
        <w:t xml:space="preserve"> del recurso, se colige la acreditación plena de todos y cada uno de los elementos formales exigidos por el artículo 180 de </w:t>
      </w:r>
      <w:r w:rsidRPr="00681CB2">
        <w:rPr>
          <w:rStyle w:val="normaltextrun"/>
          <w:rFonts w:ascii="Palatino Linotype" w:hAnsi="Palatino Linotype" w:cs="Segoe UI"/>
        </w:rPr>
        <w:lastRenderedPageBreak/>
        <w:t>la</w:t>
      </w:r>
      <w:r w:rsidRPr="00681CB2">
        <w:rPr>
          <w:rStyle w:val="apple-converted-space"/>
          <w:rFonts w:ascii="Palatino Linotype" w:hAnsi="Palatino Linotype" w:cs="Segoe UI"/>
        </w:rPr>
        <w:t> </w:t>
      </w:r>
      <w:r w:rsidRPr="00681CB2">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681CB2">
        <w:rPr>
          <w:rStyle w:val="apple-converted-space"/>
          <w:rFonts w:ascii="Palatino Linotype" w:hAnsi="Palatino Linotype" w:cs="Segoe UI"/>
        </w:rPr>
        <w:t> </w:t>
      </w:r>
      <w:r w:rsidRPr="00681CB2">
        <w:rPr>
          <w:rStyle w:val="normaltextrun"/>
          <w:rFonts w:ascii="Palatino Linotype" w:hAnsi="Palatino Linotype" w:cs="Segoe UI"/>
          <w:b/>
          <w:bCs/>
        </w:rPr>
        <w:t>EL</w:t>
      </w:r>
      <w:r w:rsidRPr="00681CB2">
        <w:rPr>
          <w:rStyle w:val="apple-converted-space"/>
          <w:rFonts w:ascii="Palatino Linotype" w:hAnsi="Palatino Linotype" w:cs="Segoe UI"/>
        </w:rPr>
        <w:t> </w:t>
      </w:r>
      <w:r w:rsidRPr="00681CB2">
        <w:rPr>
          <w:rStyle w:val="normaltextrun"/>
          <w:rFonts w:ascii="Palatino Linotype" w:hAnsi="Palatino Linotype" w:cs="Segoe UI"/>
          <w:b/>
          <w:bCs/>
        </w:rPr>
        <w:t>SAIMEX</w:t>
      </w:r>
      <w:r w:rsidRPr="00681CB2">
        <w:rPr>
          <w:rStyle w:val="normaltextrun"/>
          <w:rFonts w:ascii="Palatino Linotype" w:hAnsi="Palatino Linotype" w:cs="Segoe UI"/>
        </w:rPr>
        <w:t>.</w:t>
      </w:r>
    </w:p>
    <w:p w14:paraId="4C98272C" w14:textId="19453C14" w:rsidR="006D18C3" w:rsidRPr="00681CB2" w:rsidRDefault="006D18C3" w:rsidP="006D18C3">
      <w:pPr>
        <w:pStyle w:val="paragraph"/>
        <w:spacing w:before="0" w:beforeAutospacing="0" w:after="0" w:afterAutospacing="0" w:line="360" w:lineRule="auto"/>
        <w:ind w:right="-150"/>
        <w:jc w:val="both"/>
        <w:textAlignment w:val="baseline"/>
        <w:rPr>
          <w:rFonts w:ascii="Palatino Linotype" w:hAnsi="Palatino Linotype" w:cs="Segoe UI"/>
        </w:rPr>
      </w:pPr>
      <w:r w:rsidRPr="00681CB2">
        <w:rPr>
          <w:rStyle w:val="normaltextrun"/>
          <w:rFonts w:ascii="Palatino Linotype" w:hAnsi="Palatino Linotype" w:cs="Segoe UI"/>
        </w:rPr>
        <w:t>Por otra parte, se advierte que resulta procedente la interposición del recurso, según lo aducido por el recurrente en sus motivos de inconformidad, de acuerdo al artículo</w:t>
      </w:r>
      <w:r w:rsidRPr="00681CB2">
        <w:rPr>
          <w:rStyle w:val="apple-converted-space"/>
          <w:rFonts w:ascii="Palatino Linotype" w:hAnsi="Palatino Linotype" w:cs="Segoe UI"/>
        </w:rPr>
        <w:t> </w:t>
      </w:r>
      <w:r w:rsidRPr="00681CB2">
        <w:rPr>
          <w:rStyle w:val="normaltextrun"/>
          <w:rFonts w:ascii="Palatino Linotype" w:hAnsi="Palatino Linotype" w:cs="Segoe UI"/>
        </w:rPr>
        <w:t xml:space="preserve">179, fracciones </w:t>
      </w:r>
      <w:r w:rsidR="001E7684" w:rsidRPr="00681CB2">
        <w:rPr>
          <w:rStyle w:val="normaltextrun"/>
          <w:rFonts w:ascii="Palatino Linotype" w:hAnsi="Palatino Linotype" w:cs="Segoe UI"/>
          <w:b/>
        </w:rPr>
        <w:t xml:space="preserve">I y </w:t>
      </w:r>
      <w:r w:rsidRPr="00681CB2">
        <w:rPr>
          <w:rStyle w:val="normaltextrun"/>
          <w:rFonts w:ascii="Palatino Linotype" w:hAnsi="Palatino Linotype" w:cs="Segoe UI"/>
          <w:b/>
        </w:rPr>
        <w:t>I</w:t>
      </w:r>
      <w:r w:rsidR="001E7684" w:rsidRPr="00681CB2">
        <w:rPr>
          <w:rStyle w:val="normaltextrun"/>
          <w:rFonts w:ascii="Palatino Linotype" w:hAnsi="Palatino Linotype" w:cs="Segoe UI"/>
          <w:b/>
        </w:rPr>
        <w:t>V</w:t>
      </w:r>
      <w:r w:rsidRPr="00681CB2">
        <w:rPr>
          <w:rStyle w:val="normaltextrun"/>
          <w:rFonts w:ascii="Palatino Linotype" w:hAnsi="Palatino Linotype" w:cs="Segoe UI"/>
          <w:b/>
        </w:rPr>
        <w:t xml:space="preserve"> </w:t>
      </w:r>
      <w:r w:rsidRPr="00681CB2">
        <w:rPr>
          <w:rStyle w:val="normaltextrun"/>
          <w:rFonts w:ascii="Palatino Linotype" w:hAnsi="Palatino Linotype" w:cs="Segoe UI"/>
        </w:rPr>
        <w:t xml:space="preserve"> del ordenamiento legal citado, que a la letra dice:</w:t>
      </w:r>
      <w:r w:rsidRPr="00681CB2">
        <w:rPr>
          <w:rStyle w:val="eop"/>
          <w:rFonts w:ascii="Palatino Linotype" w:hAnsi="Palatino Linotype" w:cs="Segoe UI"/>
        </w:rPr>
        <w:t> </w:t>
      </w:r>
    </w:p>
    <w:p w14:paraId="0423958F" w14:textId="77777777" w:rsidR="006D18C3" w:rsidRPr="00681CB2" w:rsidRDefault="006D18C3" w:rsidP="006D18C3">
      <w:pPr>
        <w:pStyle w:val="paragraph"/>
        <w:spacing w:before="0" w:beforeAutospacing="0" w:after="0" w:afterAutospacing="0"/>
        <w:ind w:left="993" w:right="1041"/>
        <w:jc w:val="both"/>
        <w:textAlignment w:val="baseline"/>
        <w:rPr>
          <w:rFonts w:ascii="Palatino Linotype" w:hAnsi="Palatino Linotype"/>
          <w:i/>
          <w:sz w:val="22"/>
          <w:szCs w:val="22"/>
        </w:rPr>
      </w:pPr>
      <w:r w:rsidRPr="00681CB2">
        <w:rPr>
          <w:rStyle w:val="normaltextrun"/>
          <w:rFonts w:ascii="Palatino Linotype" w:hAnsi="Palatino Linotype" w:cs="Segoe UI"/>
          <w:b/>
          <w:bCs/>
          <w:i/>
          <w:iCs/>
          <w:sz w:val="22"/>
          <w:szCs w:val="22"/>
        </w:rPr>
        <w:t>“</w:t>
      </w:r>
      <w:r w:rsidRPr="00681CB2">
        <w:rPr>
          <w:rFonts w:ascii="Palatino Linotype" w:hAnsi="Palatino Linotype"/>
          <w:b/>
          <w:i/>
          <w:sz w:val="22"/>
          <w:szCs w:val="22"/>
        </w:rPr>
        <w:t>Artículo 179</w:t>
      </w:r>
      <w:r w:rsidRPr="00681CB2">
        <w:rPr>
          <w:rFonts w:ascii="Palatino Linotype" w:hAnsi="Palatino Linotype"/>
          <w:i/>
          <w:sz w:val="22"/>
          <w:szCs w:val="22"/>
        </w:rPr>
        <w:t xml:space="preserve">. </w:t>
      </w:r>
      <w:r w:rsidRPr="00681CB2">
        <w:rPr>
          <w:rFonts w:ascii="Palatino Linotype" w:hAnsi="Palatino Linotype"/>
          <w:b/>
          <w:i/>
          <w:sz w:val="22"/>
          <w:szCs w:val="22"/>
        </w:rPr>
        <w:t>El recurso de revisión</w:t>
      </w:r>
      <w:r w:rsidRPr="00681CB2">
        <w:rPr>
          <w:rFonts w:ascii="Palatino Linotype" w:hAnsi="Palatino Linotype"/>
          <w:i/>
          <w:sz w:val="22"/>
          <w:szCs w:val="22"/>
        </w:rPr>
        <w:t xml:space="preserve"> es un medio de protección que la Ley otorga a los particulares, para hacer valer su derecho de acceso a la información pública</w:t>
      </w:r>
      <w:r w:rsidRPr="00681CB2">
        <w:rPr>
          <w:rFonts w:ascii="Palatino Linotype" w:hAnsi="Palatino Linotype"/>
          <w:b/>
          <w:i/>
          <w:sz w:val="22"/>
          <w:szCs w:val="22"/>
        </w:rPr>
        <w:t>, y procederá en contra de las siguientes causas</w:t>
      </w:r>
      <w:r w:rsidRPr="00681CB2">
        <w:rPr>
          <w:rFonts w:ascii="Palatino Linotype" w:hAnsi="Palatino Linotype"/>
          <w:i/>
          <w:sz w:val="22"/>
          <w:szCs w:val="22"/>
        </w:rPr>
        <w:t>:</w:t>
      </w:r>
    </w:p>
    <w:p w14:paraId="642D48DE" w14:textId="77777777" w:rsidR="006D18C3" w:rsidRPr="00681CB2" w:rsidRDefault="006D18C3" w:rsidP="006D18C3">
      <w:pPr>
        <w:pStyle w:val="paragraph"/>
        <w:spacing w:before="0" w:beforeAutospacing="0" w:after="0" w:afterAutospacing="0"/>
        <w:ind w:left="993" w:right="1041"/>
        <w:jc w:val="both"/>
        <w:textAlignment w:val="baseline"/>
        <w:rPr>
          <w:rFonts w:ascii="Palatino Linotype" w:hAnsi="Palatino Linotype"/>
          <w:i/>
          <w:sz w:val="22"/>
          <w:szCs w:val="22"/>
        </w:rPr>
      </w:pPr>
      <w:r w:rsidRPr="00681CB2">
        <w:rPr>
          <w:rFonts w:ascii="Palatino Linotype" w:hAnsi="Palatino Linotype"/>
          <w:i/>
          <w:sz w:val="22"/>
          <w:szCs w:val="22"/>
        </w:rPr>
        <w:t>I. La negativa a la información solicitada;</w:t>
      </w:r>
    </w:p>
    <w:p w14:paraId="38515626" w14:textId="77777777" w:rsidR="006D18C3" w:rsidRPr="00681CB2" w:rsidRDefault="006D18C3" w:rsidP="006D18C3">
      <w:pPr>
        <w:pStyle w:val="paragraph"/>
        <w:spacing w:before="0" w:beforeAutospacing="0" w:after="0" w:afterAutospacing="0"/>
        <w:ind w:left="993" w:right="1041"/>
        <w:jc w:val="both"/>
        <w:textAlignment w:val="baseline"/>
        <w:rPr>
          <w:rFonts w:ascii="Palatino Linotype" w:hAnsi="Palatino Linotype"/>
          <w:i/>
          <w:sz w:val="22"/>
          <w:szCs w:val="22"/>
        </w:rPr>
      </w:pPr>
      <w:r w:rsidRPr="00681CB2">
        <w:rPr>
          <w:rFonts w:ascii="Palatino Linotype" w:hAnsi="Palatino Linotype"/>
          <w:i/>
          <w:sz w:val="22"/>
          <w:szCs w:val="22"/>
        </w:rPr>
        <w:t>…</w:t>
      </w:r>
    </w:p>
    <w:p w14:paraId="2362C00E" w14:textId="6A823995" w:rsidR="006D18C3" w:rsidRPr="00681CB2" w:rsidRDefault="00EC594B" w:rsidP="006D18C3">
      <w:pPr>
        <w:pStyle w:val="paragraph"/>
        <w:spacing w:before="0" w:beforeAutospacing="0" w:after="0" w:afterAutospacing="0"/>
        <w:ind w:left="993" w:right="1041"/>
        <w:jc w:val="both"/>
        <w:textAlignment w:val="baseline"/>
        <w:rPr>
          <w:rFonts w:ascii="Palatino Linotype" w:hAnsi="Palatino Linotype"/>
          <w:i/>
          <w:sz w:val="22"/>
          <w:szCs w:val="22"/>
        </w:rPr>
      </w:pPr>
      <w:r w:rsidRPr="00681CB2">
        <w:rPr>
          <w:rFonts w:ascii="Palatino Linotype" w:hAnsi="Palatino Linotype"/>
          <w:i/>
          <w:sz w:val="22"/>
          <w:szCs w:val="22"/>
        </w:rPr>
        <w:t>IV</w:t>
      </w:r>
      <w:r w:rsidR="006D18C3" w:rsidRPr="00681CB2">
        <w:rPr>
          <w:rFonts w:ascii="Palatino Linotype" w:hAnsi="Palatino Linotype"/>
          <w:i/>
          <w:sz w:val="22"/>
          <w:szCs w:val="22"/>
        </w:rPr>
        <w:t xml:space="preserve">. La </w:t>
      </w:r>
      <w:r w:rsidR="001E7684" w:rsidRPr="00681CB2">
        <w:rPr>
          <w:rFonts w:ascii="Palatino Linotype" w:hAnsi="Palatino Linotype"/>
          <w:i/>
          <w:sz w:val="22"/>
          <w:szCs w:val="22"/>
        </w:rPr>
        <w:t>declaración de incompetencia por el sujeto obligado;</w:t>
      </w:r>
    </w:p>
    <w:p w14:paraId="1E6EA12B" w14:textId="20E7F208" w:rsidR="006D18C3" w:rsidRPr="00681CB2" w:rsidRDefault="006D18C3" w:rsidP="006D18C3">
      <w:pPr>
        <w:pStyle w:val="paragraph"/>
        <w:spacing w:before="0" w:beforeAutospacing="0" w:after="0" w:afterAutospacing="0"/>
        <w:ind w:left="993" w:right="1041"/>
        <w:jc w:val="both"/>
        <w:textAlignment w:val="baseline"/>
      </w:pPr>
      <w:r w:rsidRPr="00681CB2">
        <w:rPr>
          <w:rFonts w:ascii="Palatino Linotype" w:hAnsi="Palatino Linotype"/>
          <w:i/>
          <w:sz w:val="22"/>
          <w:szCs w:val="22"/>
        </w:rPr>
        <w:t>…</w:t>
      </w:r>
      <w:r w:rsidRPr="00681CB2">
        <w:t>” </w:t>
      </w:r>
    </w:p>
    <w:p w14:paraId="1529BE6C" w14:textId="33305F85" w:rsidR="006D18C3" w:rsidRPr="00681CB2" w:rsidRDefault="006D18C3" w:rsidP="006D18C3">
      <w:pPr>
        <w:pStyle w:val="paragraph"/>
        <w:spacing w:before="240" w:beforeAutospacing="0" w:after="0" w:afterAutospacing="0" w:line="360" w:lineRule="auto"/>
        <w:ind w:right="-150"/>
        <w:jc w:val="both"/>
        <w:textAlignment w:val="baseline"/>
        <w:rPr>
          <w:rStyle w:val="normaltextrun"/>
          <w:rFonts w:ascii="Palatino Linotype" w:hAnsi="Palatino Linotype" w:cs="Segoe UI"/>
        </w:rPr>
      </w:pPr>
      <w:r w:rsidRPr="00681CB2">
        <w:rPr>
          <w:rStyle w:val="normaltextrun"/>
          <w:rFonts w:ascii="Palatino Linotype" w:hAnsi="Palatino Linotype" w:cs="Segoe UI"/>
        </w:rPr>
        <w:t>Lo anterior es así, ya que en el dicho del recurrente, el Sujeto Obligado</w:t>
      </w:r>
      <w:r w:rsidR="001E7684" w:rsidRPr="00681CB2">
        <w:rPr>
          <w:rStyle w:val="normaltextrun"/>
          <w:rFonts w:ascii="Palatino Linotype" w:hAnsi="Palatino Linotype" w:cs="Segoe UI"/>
        </w:rPr>
        <w:t xml:space="preserve"> le negó la información al declarar su incompetencia, cuando estima que sí es competente para responder sus requerimientos ya que es capaz de realizar compras y contar con un padrón de proveedores</w:t>
      </w:r>
      <w:r w:rsidR="00F630F5" w:rsidRPr="00681CB2">
        <w:rPr>
          <w:rStyle w:val="normaltextrun"/>
          <w:rFonts w:ascii="Palatino Linotype" w:hAnsi="Palatino Linotype" w:cs="Segoe UI"/>
        </w:rPr>
        <w:t>, conforme al artículo 92 de la Ley de Transparencia y Acceso a la Información Pública.</w:t>
      </w:r>
    </w:p>
    <w:p w14:paraId="71C6AF98" w14:textId="45181F73" w:rsidR="00927367" w:rsidRPr="00681CB2" w:rsidRDefault="00927367" w:rsidP="00927367">
      <w:pPr>
        <w:spacing w:before="240" w:after="240" w:line="360" w:lineRule="auto"/>
        <w:jc w:val="both"/>
        <w:rPr>
          <w:rFonts w:ascii="Palatino Linotype" w:hAnsi="Palatino Linotype" w:cs="Arial"/>
          <w:b/>
        </w:rPr>
      </w:pPr>
      <w:r w:rsidRPr="00681CB2">
        <w:rPr>
          <w:rFonts w:ascii="Palatino Linotype" w:hAnsi="Palatino Linotype" w:cs="Arial"/>
          <w:b/>
          <w:szCs w:val="28"/>
        </w:rPr>
        <w:t xml:space="preserve">Tercero. </w:t>
      </w:r>
      <w:r w:rsidRPr="00681CB2">
        <w:rPr>
          <w:rFonts w:ascii="Palatino Linotype" w:hAnsi="Palatino Linotype" w:cs="Arial"/>
          <w:b/>
        </w:rPr>
        <w:t xml:space="preserve">Materia de la revisión. </w:t>
      </w:r>
      <w:r w:rsidRPr="00681CB2">
        <w:rPr>
          <w:rFonts w:ascii="Palatino Linotype" w:hAnsi="Palatino Linotype" w:cs="Arial"/>
        </w:rPr>
        <w:t xml:space="preserve">De la revisión a las constancias que obran en los expedientes electrónicos se advierte que el tema sobre el que este Instituto se pronunciará será: </w:t>
      </w:r>
      <w:r w:rsidRPr="00681CB2">
        <w:rPr>
          <w:rFonts w:ascii="Palatino Linotype" w:hAnsi="Palatino Linotype" w:cs="Arial"/>
          <w:b/>
        </w:rPr>
        <w:t>verificar si</w:t>
      </w:r>
      <w:r w:rsidR="001B7042" w:rsidRPr="00681CB2">
        <w:rPr>
          <w:rFonts w:ascii="Palatino Linotype" w:hAnsi="Palatino Linotype" w:cs="Arial"/>
          <w:b/>
        </w:rPr>
        <w:t xml:space="preserve"> la información remitida por</w:t>
      </w:r>
      <w:r w:rsidRPr="00681CB2">
        <w:rPr>
          <w:rFonts w:ascii="Palatino Linotype" w:hAnsi="Palatino Linotype" w:cs="Arial"/>
          <w:b/>
        </w:rPr>
        <w:t xml:space="preserve"> el Sujeto Obligado </w:t>
      </w:r>
      <w:r w:rsidR="001B7042" w:rsidRPr="00681CB2">
        <w:rPr>
          <w:rFonts w:ascii="Palatino Linotype" w:hAnsi="Palatino Linotype" w:cs="Arial"/>
          <w:b/>
        </w:rPr>
        <w:t xml:space="preserve">colma la solicitud de acceso a la información pública o, en su caso,  </w:t>
      </w:r>
      <w:r w:rsidRPr="00681CB2">
        <w:rPr>
          <w:rFonts w:ascii="Palatino Linotype" w:hAnsi="Palatino Linotype" w:cs="Arial"/>
          <w:b/>
        </w:rPr>
        <w:t xml:space="preserve">resulta procedente </w:t>
      </w:r>
      <w:r w:rsidR="001B7042" w:rsidRPr="00681CB2">
        <w:rPr>
          <w:rFonts w:ascii="Palatino Linotype" w:hAnsi="Palatino Linotype" w:cs="Arial"/>
          <w:b/>
        </w:rPr>
        <w:t xml:space="preserve">ordenar </w:t>
      </w:r>
      <w:r w:rsidRPr="00681CB2">
        <w:rPr>
          <w:rFonts w:ascii="Palatino Linotype" w:hAnsi="Palatino Linotype" w:cs="Arial"/>
          <w:b/>
        </w:rPr>
        <w:t>su entrega.</w:t>
      </w:r>
    </w:p>
    <w:p w14:paraId="62B68900" w14:textId="22B744FA" w:rsidR="00E30592" w:rsidRPr="00681CB2" w:rsidRDefault="00E30592" w:rsidP="00E30592">
      <w:pPr>
        <w:spacing w:before="240" w:after="240" w:line="360" w:lineRule="auto"/>
        <w:jc w:val="both"/>
        <w:rPr>
          <w:rFonts w:ascii="Palatino Linotype" w:hAnsi="Palatino Linotype"/>
        </w:rPr>
      </w:pPr>
      <w:r w:rsidRPr="00681CB2">
        <w:rPr>
          <w:rFonts w:ascii="Palatino Linotype" w:hAnsi="Palatino Linotype"/>
          <w:b/>
        </w:rPr>
        <w:lastRenderedPageBreak/>
        <w:t xml:space="preserve">Cuarto. Estudio del asunto. </w:t>
      </w:r>
      <w:r w:rsidRPr="00681CB2">
        <w:rPr>
          <w:rFonts w:ascii="Palatino Linotype" w:hAnsi="Palatino Linotype"/>
        </w:rPr>
        <w:t xml:space="preserve">Del análisis de la solicitud de información motivo del recurso de revisión que ahora se resuelve, se advierte que el solicitante requirió al </w:t>
      </w:r>
      <w:r w:rsidRPr="00681CB2">
        <w:rPr>
          <w:rFonts w:ascii="Palatino Linotype" w:hAnsi="Palatino Linotype" w:cs="Arial"/>
        </w:rPr>
        <w:t xml:space="preserve">Organismo Público Descentralizado para la Prestación de </w:t>
      </w:r>
      <w:r w:rsidR="000627DA" w:rsidRPr="00681CB2">
        <w:rPr>
          <w:rFonts w:ascii="Palatino Linotype" w:hAnsi="Palatino Linotype" w:cs="Arial"/>
        </w:rPr>
        <w:t>l</w:t>
      </w:r>
      <w:r w:rsidRPr="00681CB2">
        <w:rPr>
          <w:rFonts w:ascii="Palatino Linotype" w:hAnsi="Palatino Linotype" w:cs="Arial"/>
        </w:rPr>
        <w:t>os Servicios de Agua Potable Alcantarillado y Saneamiento del Municipio de T</w:t>
      </w:r>
      <w:r w:rsidR="00555953" w:rsidRPr="00681CB2">
        <w:rPr>
          <w:rFonts w:ascii="Palatino Linotype" w:hAnsi="Palatino Linotype" w:cs="Arial"/>
        </w:rPr>
        <w:t>lalnepantla de Baz</w:t>
      </w:r>
      <w:r w:rsidRPr="00681CB2">
        <w:rPr>
          <w:rFonts w:ascii="Palatino Linotype" w:hAnsi="Palatino Linotype"/>
        </w:rPr>
        <w:t xml:space="preserve"> le proporcionara lo siguiente:</w:t>
      </w:r>
    </w:p>
    <w:p w14:paraId="26FCA94D" w14:textId="58D927E9" w:rsidR="00E30592" w:rsidRPr="00681CB2" w:rsidRDefault="009F760A" w:rsidP="00E30592">
      <w:pPr>
        <w:pStyle w:val="Prrafodelista"/>
        <w:numPr>
          <w:ilvl w:val="0"/>
          <w:numId w:val="19"/>
        </w:numPr>
        <w:spacing w:before="240" w:after="240" w:line="360" w:lineRule="auto"/>
        <w:jc w:val="both"/>
        <w:rPr>
          <w:rFonts w:ascii="Palatino Linotype" w:hAnsi="Palatino Linotype"/>
        </w:rPr>
      </w:pPr>
      <w:r w:rsidRPr="00681CB2">
        <w:rPr>
          <w:rFonts w:ascii="Palatino Linotype" w:hAnsi="Palatino Linotype"/>
        </w:rPr>
        <w:t>Relación completa de proveedores, comercializadoras y contratistas con los que el ayuntamiento ha suscrito algún instrumento jurídico durante de los ejercicios fiscales 2012 a 2018.</w:t>
      </w:r>
    </w:p>
    <w:p w14:paraId="676A0EE7" w14:textId="104D5C62" w:rsidR="0083198D" w:rsidRPr="00681CB2" w:rsidRDefault="0083198D" w:rsidP="0083198D">
      <w:pPr>
        <w:spacing w:before="240" w:after="240" w:line="360" w:lineRule="auto"/>
        <w:jc w:val="both"/>
        <w:rPr>
          <w:rFonts w:ascii="Palatino Linotype" w:hAnsi="Palatino Linotype"/>
        </w:rPr>
      </w:pPr>
      <w:r w:rsidRPr="00681CB2">
        <w:rPr>
          <w:rFonts w:ascii="Palatino Linotype" w:hAnsi="Palatino Linotype"/>
        </w:rPr>
        <w:t>Relacionado con las empresas “Grupo ARGOG y asociados, S.A. de C.V.”, “ARGOG S.A de C.V.” o similar de los ejercicios fiscales 2012 a 2018:</w:t>
      </w:r>
    </w:p>
    <w:p w14:paraId="536F0E4C" w14:textId="4E3E2015" w:rsidR="0019668E" w:rsidRPr="00681CB2" w:rsidRDefault="009F760A" w:rsidP="0019668E">
      <w:pPr>
        <w:pStyle w:val="Prrafodelista"/>
        <w:numPr>
          <w:ilvl w:val="0"/>
          <w:numId w:val="19"/>
        </w:numPr>
        <w:spacing w:before="240" w:after="240" w:line="360" w:lineRule="auto"/>
        <w:jc w:val="both"/>
        <w:rPr>
          <w:rFonts w:ascii="Palatino Linotype" w:hAnsi="Palatino Linotype"/>
        </w:rPr>
      </w:pPr>
      <w:r w:rsidRPr="00681CB2">
        <w:rPr>
          <w:rFonts w:ascii="Palatino Linotype" w:hAnsi="Palatino Linotype"/>
        </w:rPr>
        <w:t xml:space="preserve">Número de contratos </w:t>
      </w:r>
      <w:r w:rsidR="0019668E" w:rsidRPr="00681CB2">
        <w:rPr>
          <w:rFonts w:ascii="Palatino Linotype" w:hAnsi="Palatino Linotype"/>
        </w:rPr>
        <w:t>que ha suscrito cualquier unidad administrativa del ayuntamiento con la empresa.</w:t>
      </w:r>
    </w:p>
    <w:p w14:paraId="7C143D40" w14:textId="02C70F1F" w:rsidR="0019668E" w:rsidRPr="00681CB2" w:rsidRDefault="0019668E" w:rsidP="0019668E">
      <w:pPr>
        <w:pStyle w:val="Prrafodelista"/>
        <w:numPr>
          <w:ilvl w:val="0"/>
          <w:numId w:val="19"/>
        </w:numPr>
        <w:spacing w:before="240" w:after="240" w:line="360" w:lineRule="auto"/>
        <w:jc w:val="both"/>
        <w:rPr>
          <w:rFonts w:ascii="Palatino Linotype" w:hAnsi="Palatino Linotype"/>
        </w:rPr>
      </w:pPr>
      <w:r w:rsidRPr="00681CB2">
        <w:rPr>
          <w:rFonts w:ascii="Palatino Linotype" w:hAnsi="Palatino Linotype"/>
        </w:rPr>
        <w:t>Objeto de cada contrato, monto pagado y vigencia de cada uno de ellos.</w:t>
      </w:r>
    </w:p>
    <w:p w14:paraId="23A818AB" w14:textId="79E3946B" w:rsidR="0019668E" w:rsidRPr="00681CB2" w:rsidRDefault="0019668E" w:rsidP="0019668E">
      <w:pPr>
        <w:pStyle w:val="Prrafodelista"/>
        <w:numPr>
          <w:ilvl w:val="0"/>
          <w:numId w:val="19"/>
        </w:numPr>
        <w:spacing w:before="240" w:after="240" w:line="360" w:lineRule="auto"/>
        <w:jc w:val="both"/>
        <w:rPr>
          <w:rFonts w:ascii="Palatino Linotype" w:hAnsi="Palatino Linotype"/>
        </w:rPr>
      </w:pPr>
      <w:r w:rsidRPr="00681CB2">
        <w:rPr>
          <w:rFonts w:ascii="Palatino Linotype" w:hAnsi="Palatino Linotype"/>
        </w:rPr>
        <w:t>En versión pública los contratos y sus anexos.</w:t>
      </w:r>
    </w:p>
    <w:p w14:paraId="091B5DA1" w14:textId="68FEC57A" w:rsidR="0019668E" w:rsidRPr="00681CB2" w:rsidRDefault="00E14967" w:rsidP="0019668E">
      <w:pPr>
        <w:pStyle w:val="Prrafodelista"/>
        <w:numPr>
          <w:ilvl w:val="0"/>
          <w:numId w:val="19"/>
        </w:numPr>
        <w:spacing w:before="240" w:after="240" w:line="360" w:lineRule="auto"/>
        <w:jc w:val="both"/>
        <w:rPr>
          <w:rFonts w:ascii="Palatino Linotype" w:hAnsi="Palatino Linotype"/>
        </w:rPr>
      </w:pPr>
      <w:r w:rsidRPr="00681CB2">
        <w:rPr>
          <w:rFonts w:ascii="Palatino Linotype" w:hAnsi="Palatino Linotype"/>
        </w:rPr>
        <w:t>En versión pública las actas de comité, propuesta técnica y económica del proveedor y en su caso, estudio de mercado.</w:t>
      </w:r>
    </w:p>
    <w:p w14:paraId="09B7BDF3" w14:textId="379F4B85" w:rsidR="00E14967" w:rsidRPr="00681CB2" w:rsidRDefault="00E14967" w:rsidP="0019668E">
      <w:pPr>
        <w:pStyle w:val="Prrafodelista"/>
        <w:numPr>
          <w:ilvl w:val="0"/>
          <w:numId w:val="19"/>
        </w:numPr>
        <w:spacing w:before="240" w:after="240" w:line="360" w:lineRule="auto"/>
        <w:jc w:val="both"/>
        <w:rPr>
          <w:rFonts w:ascii="Palatino Linotype" w:hAnsi="Palatino Linotype"/>
        </w:rPr>
      </w:pPr>
      <w:r w:rsidRPr="00681CB2">
        <w:rPr>
          <w:rFonts w:ascii="Palatino Linotype" w:hAnsi="Palatino Linotype"/>
        </w:rPr>
        <w:t xml:space="preserve">En caso de excepción a licitación pública, versión pública de las actas </w:t>
      </w:r>
      <w:proofErr w:type="spellStart"/>
      <w:r w:rsidRPr="00681CB2">
        <w:rPr>
          <w:rFonts w:ascii="Palatino Linotype" w:hAnsi="Palatino Linotype"/>
        </w:rPr>
        <w:t>u</w:t>
      </w:r>
      <w:proofErr w:type="spellEnd"/>
      <w:r w:rsidRPr="00681CB2">
        <w:rPr>
          <w:rFonts w:ascii="Palatino Linotype" w:hAnsi="Palatino Linotype"/>
        </w:rPr>
        <w:t xml:space="preserve"> homólogo donde se compruebe la razón por la cual se optó por ese tipo de procedimiento.</w:t>
      </w:r>
    </w:p>
    <w:p w14:paraId="6093838F" w14:textId="49FFEBFB" w:rsidR="00787B63" w:rsidRPr="00681CB2" w:rsidRDefault="00796B5F" w:rsidP="00796B5F">
      <w:pPr>
        <w:spacing w:before="240" w:after="240" w:line="360" w:lineRule="auto"/>
        <w:jc w:val="both"/>
        <w:rPr>
          <w:rFonts w:ascii="Palatino Linotype" w:hAnsi="Palatino Linotype" w:cs="Arial"/>
        </w:rPr>
      </w:pPr>
      <w:r w:rsidRPr="00681CB2">
        <w:rPr>
          <w:rFonts w:ascii="Palatino Linotype" w:hAnsi="Palatino Linotype" w:cs="Arial"/>
        </w:rPr>
        <w:lastRenderedPageBreak/>
        <w:t xml:space="preserve">Como fue referido en los antecedentes de la presente resolución, el </w:t>
      </w:r>
      <w:r w:rsidR="00307774" w:rsidRPr="00681CB2">
        <w:rPr>
          <w:rFonts w:ascii="Palatino Linotype" w:hAnsi="Palatino Linotype" w:cs="Arial"/>
        </w:rPr>
        <w:t>S</w:t>
      </w:r>
      <w:r w:rsidRPr="00681CB2">
        <w:rPr>
          <w:rFonts w:ascii="Palatino Linotype" w:hAnsi="Palatino Linotype" w:cs="Arial"/>
        </w:rPr>
        <w:t xml:space="preserve">ujeto Obligado junto con su respuesta adjuntó el oficio OPDM/UT/871/2018, signado por el Titular de la Unidad de Transparencia en donde de manera general le sugiere al particular requerir la información al H. </w:t>
      </w:r>
      <w:r w:rsidR="006911C0" w:rsidRPr="00681CB2">
        <w:rPr>
          <w:rFonts w:ascii="Palatino Linotype" w:hAnsi="Palatino Linotype" w:cs="Arial"/>
        </w:rPr>
        <w:t>Ayuntamiento de Tlalnepantla, el cual sería el Sujeto Obligado competente para satisfacer su requerimiento, asimismo le remitió dos ligas electrónicas donde seguramente encontraría parte de sus requerimientos.</w:t>
      </w:r>
    </w:p>
    <w:p w14:paraId="30406F53" w14:textId="0EE7613C" w:rsidR="006C3509" w:rsidRPr="00681CB2" w:rsidRDefault="006C3509" w:rsidP="006C3509">
      <w:pPr>
        <w:spacing w:before="240" w:after="240" w:line="360" w:lineRule="auto"/>
        <w:jc w:val="both"/>
        <w:rPr>
          <w:rFonts w:ascii="Palatino Linotype" w:hAnsi="Palatino Linotype"/>
        </w:rPr>
      </w:pPr>
      <w:r w:rsidRPr="00681CB2">
        <w:rPr>
          <w:rFonts w:ascii="Palatino Linotype" w:hAnsi="Palatino Linotype"/>
        </w:rPr>
        <w:t xml:space="preserve">Inconforme con la respuesta del Sujeto Obligado, el particular interpuso el presente recurso de revisión argumentando principalmente que el Organismo Descentralizado al igual que el Ayuntamiento de Tlalnepantla era competente para responder a los requerimientos de su solicitud, toda vez que </w:t>
      </w:r>
      <w:r w:rsidR="001747F4" w:rsidRPr="00681CB2">
        <w:rPr>
          <w:rFonts w:ascii="Palatino Linotype" w:hAnsi="Palatino Linotype"/>
        </w:rPr>
        <w:t>el particular considera que también realiza compras y cuenta con un padrón de proveedores</w:t>
      </w:r>
      <w:r w:rsidRPr="00681CB2">
        <w:rPr>
          <w:rFonts w:ascii="Palatino Linotype" w:hAnsi="Palatino Linotype"/>
        </w:rPr>
        <w:t>, por ende se procederá a verificar si entre las funciones del Sujeto Obligado se encuentra generar, poseer o administrar la información requerida.</w:t>
      </w:r>
    </w:p>
    <w:p w14:paraId="1A738035" w14:textId="64A885E8" w:rsidR="009562D6" w:rsidRPr="00681CB2" w:rsidRDefault="009926BD" w:rsidP="009562D6">
      <w:pPr>
        <w:pStyle w:val="NormalWeb"/>
        <w:spacing w:line="360" w:lineRule="auto"/>
        <w:jc w:val="both"/>
        <w:rPr>
          <w:rFonts w:ascii="Trebuchet MS" w:hAnsi="Trebuchet MS"/>
        </w:rPr>
      </w:pPr>
      <w:r w:rsidRPr="00681CB2">
        <w:rPr>
          <w:rFonts w:ascii="Palatino Linotype" w:hAnsi="Palatino Linotype" w:cs="Arial"/>
        </w:rPr>
        <w:t>De manera</w:t>
      </w:r>
      <w:r w:rsidR="009562D6" w:rsidRPr="00681CB2">
        <w:rPr>
          <w:rFonts w:ascii="Palatino Linotype" w:hAnsi="Palatino Linotype" w:cs="Arial"/>
        </w:rPr>
        <w:t xml:space="preserve"> previa al análisis del presente recurso y con respecto a los motivos de inconformidad vertidos por el recuente, se advierte </w:t>
      </w:r>
      <w:r w:rsidR="009562D6" w:rsidRPr="00681CB2">
        <w:rPr>
          <w:rFonts w:ascii="Palatino Linotype" w:hAnsi="Palatino Linotype"/>
        </w:rPr>
        <w:t>que resulta procedente suplir la deficiencia de la queja en términos de la Ley de Transparencia y Acceso a la Información Pública del Estado de México y Municipios, concretamente en sus artículos 13 y 181, tercer párrafo, donde se señala el deber de este Instituto de suplir cualquier deficiencia para garantizar el derecho de acceso a la información a favor de los recurrentes sin cambiar los hechos expuestos; tal y como se lee a continuación:</w:t>
      </w:r>
    </w:p>
    <w:p w14:paraId="5C0A2C99" w14:textId="77777777" w:rsidR="009562D6" w:rsidRPr="00681CB2" w:rsidRDefault="009562D6" w:rsidP="009562D6">
      <w:pPr>
        <w:shd w:val="clear" w:color="auto" w:fill="FFFFFF"/>
        <w:spacing w:before="240" w:after="240"/>
        <w:ind w:left="851" w:right="900"/>
        <w:jc w:val="both"/>
        <w:rPr>
          <w:rFonts w:ascii="Trebuchet MS" w:hAnsi="Trebuchet MS"/>
          <w:lang w:val="es-MX" w:eastAsia="es-MX"/>
        </w:rPr>
      </w:pPr>
      <w:r w:rsidRPr="00681CB2">
        <w:rPr>
          <w:rFonts w:ascii="Palatino Linotype" w:hAnsi="Palatino Linotype"/>
          <w:i/>
          <w:iCs/>
          <w:sz w:val="22"/>
          <w:szCs w:val="22"/>
          <w:lang w:eastAsia="es-MX"/>
        </w:rPr>
        <w:lastRenderedPageBreak/>
        <w:t>“</w:t>
      </w:r>
      <w:r w:rsidRPr="00681CB2">
        <w:rPr>
          <w:rFonts w:ascii="Palatino Linotype" w:hAnsi="Palatino Linotype"/>
          <w:b/>
          <w:bCs/>
          <w:i/>
          <w:iCs/>
          <w:sz w:val="22"/>
          <w:szCs w:val="22"/>
          <w:lang w:eastAsia="es-MX"/>
        </w:rPr>
        <w:t>Artículo 13</w:t>
      </w:r>
      <w:r w:rsidRPr="00681CB2">
        <w:rPr>
          <w:rFonts w:ascii="Palatino Linotype" w:hAnsi="Palatino Linotype"/>
          <w:i/>
          <w:iCs/>
          <w:sz w:val="22"/>
          <w:szCs w:val="22"/>
          <w:lang w:eastAsia="es-MX"/>
        </w:rPr>
        <w:t>. El Instituto, en el ámbito de sus atribuciones, deberá suplir cualquier deficiencia para garantizar el ejercicio del derecho de acceso a la información.”</w:t>
      </w:r>
    </w:p>
    <w:p w14:paraId="0D5DBE08" w14:textId="77777777" w:rsidR="009562D6" w:rsidRPr="00681CB2" w:rsidRDefault="009562D6" w:rsidP="009562D6">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i/>
          <w:iCs/>
          <w:sz w:val="22"/>
          <w:szCs w:val="22"/>
          <w:lang w:eastAsia="es-MX"/>
        </w:rPr>
        <w:t>“</w:t>
      </w:r>
      <w:r w:rsidRPr="00681CB2">
        <w:rPr>
          <w:rFonts w:ascii="Palatino Linotype" w:hAnsi="Palatino Linotype"/>
          <w:b/>
          <w:bCs/>
          <w:i/>
          <w:iCs/>
          <w:sz w:val="22"/>
          <w:szCs w:val="22"/>
          <w:lang w:eastAsia="es-MX"/>
        </w:rPr>
        <w:t>Artículo 181.</w:t>
      </w:r>
      <w:r w:rsidRPr="00681CB2">
        <w:rPr>
          <w:rFonts w:ascii="Palatino Linotype" w:hAnsi="Palatino Linotype"/>
          <w:i/>
          <w:iCs/>
          <w:sz w:val="22"/>
          <w:szCs w:val="22"/>
          <w:lang w:eastAsia="es-MX"/>
        </w:rPr>
        <w:t> </w:t>
      </w:r>
    </w:p>
    <w:p w14:paraId="604FE137" w14:textId="77777777" w:rsidR="009562D6" w:rsidRPr="00681CB2" w:rsidRDefault="009562D6" w:rsidP="009562D6">
      <w:pPr>
        <w:shd w:val="clear" w:color="auto" w:fill="FFFFFF"/>
        <w:ind w:left="851" w:right="900"/>
        <w:jc w:val="both"/>
        <w:rPr>
          <w:rFonts w:ascii="Trebuchet MS" w:hAnsi="Trebuchet MS"/>
          <w:lang w:val="es-MX" w:eastAsia="es-MX"/>
        </w:rPr>
      </w:pPr>
      <w:r w:rsidRPr="00681CB2">
        <w:rPr>
          <w:rFonts w:ascii="Palatino Linotype" w:hAnsi="Palatino Linotype"/>
          <w:i/>
          <w:iCs/>
          <w:sz w:val="22"/>
          <w:szCs w:val="22"/>
          <w:lang w:eastAsia="es-MX"/>
        </w:rPr>
        <w:t>(…)</w:t>
      </w:r>
    </w:p>
    <w:p w14:paraId="737FF08A" w14:textId="77777777" w:rsidR="009562D6" w:rsidRPr="00681CB2" w:rsidRDefault="009562D6" w:rsidP="009562D6">
      <w:pPr>
        <w:shd w:val="clear" w:color="auto" w:fill="FFFFFF"/>
        <w:spacing w:after="240"/>
        <w:ind w:left="851" w:right="900"/>
        <w:jc w:val="both"/>
        <w:rPr>
          <w:rFonts w:ascii="Trebuchet MS" w:hAnsi="Trebuchet MS"/>
          <w:lang w:val="es-MX" w:eastAsia="es-MX"/>
        </w:rPr>
      </w:pPr>
      <w:r w:rsidRPr="00681CB2">
        <w:rPr>
          <w:rFonts w:ascii="Palatino Linotype" w:hAnsi="Palatino Linotype"/>
          <w:i/>
          <w:iCs/>
          <w:sz w:val="22"/>
          <w:szCs w:val="22"/>
          <w:lang w:eastAsia="es-MX"/>
        </w:rPr>
        <w:t>Durante el procedimiento deberá aplicarse la suplencia de la queja a favor del recurrente, sin cambiar los hechos expuestos, asegurándose de que las partes puedan presentar, de manera oral o escrita, los argumentos que funden y motiven sus pretensiones.”</w:t>
      </w:r>
    </w:p>
    <w:p w14:paraId="0E3BDE1D" w14:textId="11FC0DD5" w:rsidR="009562D6" w:rsidRPr="00681CB2" w:rsidRDefault="009562D6" w:rsidP="009562D6">
      <w:pPr>
        <w:shd w:val="clear" w:color="auto" w:fill="FFFFFF"/>
        <w:spacing w:before="240" w:after="240" w:line="360" w:lineRule="auto"/>
        <w:ind w:right="51"/>
        <w:jc w:val="both"/>
        <w:rPr>
          <w:rFonts w:ascii="Trebuchet MS" w:hAnsi="Trebuchet MS"/>
          <w:lang w:val="es-MX" w:eastAsia="es-MX"/>
        </w:rPr>
      </w:pPr>
      <w:r w:rsidRPr="00681CB2">
        <w:rPr>
          <w:rFonts w:ascii="Palatino Linotype" w:hAnsi="Palatino Linotype"/>
          <w:lang w:eastAsia="es-MX"/>
        </w:rPr>
        <w:t>Así también en armonía con lo señalado en la jurisprudencia y en la tesis aislada, emitida por la Suprema Corte de Justicia de la Nación, que llevan por rubro respectivamente; “SUPLENCIA</w:t>
      </w:r>
      <w:r w:rsidR="00A85549" w:rsidRPr="00681CB2">
        <w:rPr>
          <w:rFonts w:ascii="Palatino Linotype" w:hAnsi="Palatino Linotype"/>
          <w:lang w:eastAsia="es-MX"/>
        </w:rPr>
        <w:t xml:space="preserve"> </w:t>
      </w:r>
      <w:r w:rsidRPr="00681CB2">
        <w:rPr>
          <w:rFonts w:ascii="Palatino Linotype" w:hAnsi="Palatino Linotype"/>
          <w:lang w:eastAsia="es-MX"/>
        </w:rPr>
        <w:t>DE LA QUEJA DEFICIENTE</w:t>
      </w:r>
      <w:r w:rsidRPr="00681CB2">
        <w:rPr>
          <w:rFonts w:ascii="Palatino Linotype" w:hAnsi="Palatino Linotype"/>
          <w:i/>
          <w:iCs/>
          <w:lang w:eastAsia="es-MX"/>
        </w:rPr>
        <w:t xml:space="preserve"> SU PROCEDENCIA EN OTRAS MATERIAS, AUN A FALTA DE CONCEPTO DE VIOLACIÓN O AGRAVIO, CUANDO SE ADVIERTA VIOLACIÓN GRAVE Y MANIFIESTA DE LA LEY”</w:t>
      </w:r>
      <w:r w:rsidRPr="00681CB2">
        <w:rPr>
          <w:rStyle w:val="Refdenotaalpie"/>
          <w:rFonts w:ascii="Palatino Linotype" w:hAnsi="Palatino Linotype"/>
          <w:i/>
          <w:iCs/>
          <w:lang w:eastAsia="es-MX"/>
        </w:rPr>
        <w:footnoteReference w:id="1"/>
      </w:r>
      <w:r w:rsidRPr="00681CB2">
        <w:rPr>
          <w:rFonts w:ascii="Palatino Linotype" w:hAnsi="Palatino Linotype"/>
          <w:lang w:eastAsia="es-MX"/>
        </w:rPr>
        <w:t> y </w:t>
      </w:r>
      <w:r w:rsidRPr="00681CB2">
        <w:rPr>
          <w:rFonts w:ascii="Palatino Linotype" w:hAnsi="Palatino Linotype"/>
          <w:i/>
          <w:iCs/>
          <w:lang w:eastAsia="es-MX"/>
        </w:rPr>
        <w:t>“SUPLENCIA DE LA QUEJA DEFICIENTE EN MATERIAS CIVIL Y ADMINISTRATIVA (INTERPRETACIÓN DEL ARTÍCULO 79, FRACCIÓN VI, DE LA LEY DE AMPARO).”</w:t>
      </w:r>
      <w:r w:rsidRPr="00681CB2">
        <w:rPr>
          <w:rStyle w:val="Refdenotaalpie"/>
          <w:rFonts w:ascii="Palatino Linotype" w:hAnsi="Palatino Linotype"/>
          <w:i/>
          <w:iCs/>
          <w:lang w:eastAsia="es-MX"/>
        </w:rPr>
        <w:footnoteReference w:id="2"/>
      </w:r>
      <w:r w:rsidRPr="00681CB2">
        <w:rPr>
          <w:rFonts w:ascii="Palatino Linotype" w:hAnsi="Palatino Linotype"/>
          <w:lang w:eastAsia="es-MX"/>
        </w:rPr>
        <w:t xml:space="preserve">, que indican esencialmente que es obligación del juzgador </w:t>
      </w:r>
      <w:r w:rsidRPr="00681CB2">
        <w:rPr>
          <w:rFonts w:ascii="Palatino Linotype" w:hAnsi="Palatino Linotype"/>
          <w:lang w:eastAsia="es-MX"/>
        </w:rPr>
        <w:lastRenderedPageBreak/>
        <w:t>suplir la queja deficiente ante una violación evidente de la ley que haya dejado sin defensa al particular, aún ante la ausencia de concepto de violación con el fin de evitar el beneficio de una de las partes a costa de la indefensión de la otra.</w:t>
      </w:r>
    </w:p>
    <w:p w14:paraId="55A4D25B" w14:textId="4D2AC8BE" w:rsidR="006C3509" w:rsidRPr="00681CB2" w:rsidRDefault="00E131CA" w:rsidP="00796B5F">
      <w:pPr>
        <w:spacing w:before="240" w:after="240" w:line="360" w:lineRule="auto"/>
        <w:jc w:val="both"/>
        <w:rPr>
          <w:rFonts w:ascii="Palatino Linotype" w:hAnsi="Palatino Linotype" w:cs="Arial"/>
          <w:lang w:val="es-MX" w:eastAsia="es-MX"/>
        </w:rPr>
      </w:pPr>
      <w:r w:rsidRPr="00681CB2">
        <w:rPr>
          <w:rFonts w:ascii="Palatino Linotype" w:hAnsi="Palatino Linotype" w:cs="Arial"/>
          <w:lang w:val="es-MX" w:eastAsia="es-MX"/>
        </w:rPr>
        <w:t xml:space="preserve">Bajo esa premisa, se estima procedente </w:t>
      </w:r>
      <w:r w:rsidR="0086537D" w:rsidRPr="00681CB2">
        <w:rPr>
          <w:rFonts w:ascii="Palatino Linotype" w:hAnsi="Palatino Linotype" w:cs="Arial"/>
          <w:lang w:val="es-MX" w:eastAsia="es-MX"/>
        </w:rPr>
        <w:t xml:space="preserve">aplicarla en beneficio del recurrente, por lo que si bien fue apuntado en el formato de solicitud </w:t>
      </w:r>
      <w:r w:rsidR="004708C5" w:rsidRPr="00681CB2">
        <w:rPr>
          <w:rFonts w:ascii="Palatino Linotype" w:hAnsi="Palatino Linotype" w:cs="Arial"/>
          <w:lang w:val="es-MX" w:eastAsia="es-MX"/>
        </w:rPr>
        <w:t>“</w:t>
      </w:r>
      <w:r w:rsidR="0086537D" w:rsidRPr="00681CB2">
        <w:rPr>
          <w:rFonts w:ascii="Palatino Linotype" w:hAnsi="Palatino Linotype" w:cs="Arial"/>
          <w:lang w:val="es-MX" w:eastAsia="es-MX"/>
        </w:rPr>
        <w:t>el ayuntamiento</w:t>
      </w:r>
      <w:r w:rsidR="004708C5" w:rsidRPr="00681CB2">
        <w:rPr>
          <w:rFonts w:ascii="Palatino Linotype" w:hAnsi="Palatino Linotype" w:cs="Arial"/>
          <w:lang w:val="es-MX" w:eastAsia="es-MX"/>
        </w:rPr>
        <w:t>”</w:t>
      </w:r>
      <w:r w:rsidR="0086537D" w:rsidRPr="00681CB2">
        <w:rPr>
          <w:rFonts w:ascii="Palatino Linotype" w:hAnsi="Palatino Linotype" w:cs="Arial"/>
          <w:lang w:val="es-MX" w:eastAsia="es-MX"/>
        </w:rPr>
        <w:t>, en su acto impugnado señaló que el Sujeto Obligado es igual de competente para responder a su solicitud de información, por lo que se establece que la solicitud versa sobre el Organismo Público Descentralizado para la Prestación de Los Servicios de Agua Potable Alcantarillado y Saneamiento del Municipio de Tlalnepantla de Baz y no así sobre el Ayuntamiento.</w:t>
      </w:r>
    </w:p>
    <w:p w14:paraId="7B526EF1" w14:textId="37F68FC4" w:rsidR="0086537D" w:rsidRPr="00681CB2" w:rsidRDefault="00EE525F" w:rsidP="00796B5F">
      <w:pPr>
        <w:spacing w:before="240" w:after="240" w:line="360" w:lineRule="auto"/>
        <w:jc w:val="both"/>
        <w:rPr>
          <w:rFonts w:ascii="Palatino Linotype" w:hAnsi="Palatino Linotype" w:cs="Arial"/>
          <w:lang w:val="es-MX" w:eastAsia="es-MX"/>
        </w:rPr>
      </w:pPr>
      <w:r w:rsidRPr="00681CB2">
        <w:rPr>
          <w:rFonts w:ascii="Palatino Linotype" w:hAnsi="Palatino Linotype" w:cs="Arial"/>
          <w:lang w:val="es-MX" w:eastAsia="es-MX"/>
        </w:rPr>
        <w:t>De ig</w:t>
      </w:r>
      <w:r w:rsidR="00A57F6E" w:rsidRPr="00681CB2">
        <w:rPr>
          <w:rFonts w:ascii="Palatino Linotype" w:hAnsi="Palatino Linotype" w:cs="Arial"/>
          <w:lang w:val="es-MX" w:eastAsia="es-MX"/>
        </w:rPr>
        <w:t xml:space="preserve">ual forma, es de precisar que si bien, en el formato de interposición de recurso de revisión, en el apartado denominado “razones o motivos de inconformidad” el particular se inconformó respecto de una solicitud diversa, ello no impide entrar al estudio del fondo del asunto, ya que los motivos de inconformidad pueden estar vertidos en cualquier parte del formato de interposición, por ende </w:t>
      </w:r>
      <w:r w:rsidR="00FE348A" w:rsidRPr="00681CB2">
        <w:rPr>
          <w:rFonts w:ascii="Palatino Linotype" w:hAnsi="Palatino Linotype" w:cs="Arial"/>
          <w:lang w:val="es-MX" w:eastAsia="es-MX"/>
        </w:rPr>
        <w:t xml:space="preserve">en el apartado </w:t>
      </w:r>
      <w:r w:rsidR="00FE348A" w:rsidRPr="00681CB2">
        <w:rPr>
          <w:rFonts w:ascii="Palatino Linotype" w:hAnsi="Palatino Linotype" w:cs="Arial"/>
          <w:lang w:val="es-MX" w:eastAsia="es-MX"/>
        </w:rPr>
        <w:lastRenderedPageBreak/>
        <w:t xml:space="preserve">“acto impugnado”, el particular manifestó que impugnaba la respuesta a su solicitud 00131/OASTLALNE/IP/2018, folio que corresponde a la </w:t>
      </w:r>
      <w:r w:rsidR="00F372CC" w:rsidRPr="00681CB2">
        <w:rPr>
          <w:rFonts w:ascii="Palatino Linotype" w:hAnsi="Palatino Linotype" w:cs="Arial"/>
          <w:lang w:val="es-MX" w:eastAsia="es-MX"/>
        </w:rPr>
        <w:t>solicitud</w:t>
      </w:r>
      <w:r w:rsidR="00FE348A" w:rsidRPr="00681CB2">
        <w:rPr>
          <w:rFonts w:ascii="Palatino Linotype" w:hAnsi="Palatino Linotype" w:cs="Arial"/>
          <w:lang w:val="es-MX" w:eastAsia="es-MX"/>
        </w:rPr>
        <w:t xml:space="preserve"> primigenia, por lo que su motivo d</w:t>
      </w:r>
      <w:r w:rsidR="00F372CC" w:rsidRPr="00681CB2">
        <w:rPr>
          <w:rFonts w:ascii="Palatino Linotype" w:hAnsi="Palatino Linotype" w:cs="Arial"/>
          <w:lang w:val="es-MX" w:eastAsia="es-MX"/>
        </w:rPr>
        <w:t>e inconformidad resulta procedente.</w:t>
      </w:r>
    </w:p>
    <w:p w14:paraId="15EFB199" w14:textId="0FAFE210" w:rsidR="00025BD9" w:rsidRPr="00681CB2" w:rsidRDefault="00A430FD" w:rsidP="00796B5F">
      <w:pPr>
        <w:spacing w:before="240" w:after="240" w:line="360" w:lineRule="auto"/>
        <w:jc w:val="both"/>
        <w:rPr>
          <w:rFonts w:ascii="Palatino Linotype" w:hAnsi="Palatino Linotype" w:cs="Arial"/>
          <w:lang w:val="es-MX" w:eastAsia="es-MX"/>
        </w:rPr>
      </w:pPr>
      <w:r w:rsidRPr="00681CB2">
        <w:rPr>
          <w:rFonts w:ascii="Palatino Linotype" w:hAnsi="Palatino Linotype" w:cs="Arial"/>
          <w:lang w:val="es-MX" w:eastAsia="es-MX"/>
        </w:rPr>
        <w:t xml:space="preserve">Ahora bien, en primer lugar, el particular solicitó conocer </w:t>
      </w:r>
      <w:r w:rsidR="009804D1" w:rsidRPr="00681CB2">
        <w:rPr>
          <w:rFonts w:ascii="Palatino Linotype" w:hAnsi="Palatino Linotype" w:cs="Arial"/>
          <w:lang w:val="es-MX" w:eastAsia="es-MX"/>
        </w:rPr>
        <w:t>la relación completa de los proveedores, comercializadoras y contratistas con los que el Sujeto Obligado ha suscrito algún instrumento jurídico durante los ejercicios fiscales de 2012 a 2018, lo cual se entender</w:t>
      </w:r>
      <w:r w:rsidR="00200996" w:rsidRPr="00681CB2">
        <w:rPr>
          <w:rFonts w:ascii="Palatino Linotype" w:hAnsi="Palatino Linotype" w:cs="Arial"/>
          <w:lang w:val="es-MX" w:eastAsia="es-MX"/>
        </w:rPr>
        <w:t xml:space="preserve">ía que se trataría del padrón de proveedores con los que hayan tenido alguna relación </w:t>
      </w:r>
      <w:r w:rsidR="000F6A5E" w:rsidRPr="00681CB2">
        <w:rPr>
          <w:rFonts w:ascii="Palatino Linotype" w:hAnsi="Palatino Linotype" w:cs="Arial"/>
          <w:lang w:val="es-MX" w:eastAsia="es-MX"/>
        </w:rPr>
        <w:t xml:space="preserve">desde el ejercicio fiscal 2012, bajo esos argumentos es prudente referir que el Sujeto Obligado </w:t>
      </w:r>
      <w:r w:rsidR="00167E63" w:rsidRPr="00681CB2">
        <w:rPr>
          <w:rFonts w:ascii="Palatino Linotype" w:hAnsi="Palatino Linotype" w:cs="Arial"/>
          <w:lang w:val="es-MX" w:eastAsia="es-MX"/>
        </w:rPr>
        <w:t>forma parte de la Administración Pública Descentralizada del Municipio de Tlalnepantla de Baz y tiene como responsabilidad organizar y administrar el funcionamiento, conservación y operación de los servicios públicos de agua potable, drenaje, alcantarillado y saneamiento del municipio</w:t>
      </w:r>
      <w:r w:rsidR="00167E63" w:rsidRPr="00681CB2">
        <w:rPr>
          <w:rStyle w:val="Refdenotaalpie"/>
          <w:rFonts w:ascii="Palatino Linotype" w:hAnsi="Palatino Linotype" w:cs="Arial"/>
          <w:lang w:val="es-MX" w:eastAsia="es-MX"/>
        </w:rPr>
        <w:footnoteReference w:id="3"/>
      </w:r>
      <w:r w:rsidR="00167E63" w:rsidRPr="00681CB2">
        <w:rPr>
          <w:rFonts w:ascii="Palatino Linotype" w:hAnsi="Palatino Linotype" w:cs="Arial"/>
          <w:lang w:val="es-MX" w:eastAsia="es-MX"/>
        </w:rPr>
        <w:t xml:space="preserve"> </w:t>
      </w:r>
      <w:r w:rsidR="00811B89" w:rsidRPr="00681CB2">
        <w:rPr>
          <w:rFonts w:ascii="Palatino Linotype" w:hAnsi="Palatino Linotype" w:cs="Arial"/>
          <w:lang w:val="es-MX" w:eastAsia="es-MX"/>
        </w:rPr>
        <w:t xml:space="preserve">, mismo que para llevar a cabo las actividades a su encargo cuenta con unidades administrativas, las cuales de acuerdo con el </w:t>
      </w:r>
      <w:r w:rsidR="00811B89" w:rsidRPr="00681CB2">
        <w:rPr>
          <w:rFonts w:ascii="Palatino Linotype" w:hAnsi="Palatino Linotype"/>
        </w:rPr>
        <w:t>Reglamento Interior del Organismo Público Descentralizado para la Prestación de los Servicios de Agua Potable, Alcantarillado y Saneamiento del Municipio de Tlalnepantla,</w:t>
      </w:r>
      <w:r w:rsidR="00811B89" w:rsidRPr="00681CB2">
        <w:rPr>
          <w:rFonts w:ascii="Palatino Linotype" w:hAnsi="Palatino Linotype" w:cs="Arial"/>
          <w:lang w:val="es-MX" w:eastAsia="es-MX"/>
        </w:rPr>
        <w:t xml:space="preserve"> son:</w:t>
      </w:r>
    </w:p>
    <w:p w14:paraId="119C2B68" w14:textId="74FA7E09" w:rsidR="00811B89" w:rsidRPr="00681CB2" w:rsidRDefault="00811B89" w:rsidP="00811B89">
      <w:pPr>
        <w:shd w:val="clear" w:color="auto" w:fill="FFFFFF"/>
        <w:ind w:left="851" w:right="900"/>
        <w:jc w:val="both"/>
        <w:rPr>
          <w:rFonts w:ascii="Palatino Linotype" w:hAnsi="Palatino Linotype"/>
          <w:b/>
          <w:i/>
          <w:iCs/>
          <w:sz w:val="22"/>
          <w:szCs w:val="22"/>
          <w:lang w:eastAsia="es-MX"/>
        </w:rPr>
      </w:pPr>
      <w:r w:rsidRPr="00681CB2">
        <w:rPr>
          <w:rFonts w:ascii="Palatino Linotype" w:hAnsi="Palatino Linotype"/>
          <w:b/>
          <w:i/>
          <w:iCs/>
          <w:sz w:val="22"/>
          <w:szCs w:val="22"/>
          <w:lang w:eastAsia="es-MX"/>
        </w:rPr>
        <w:t>Artículo 18.-</w:t>
      </w:r>
    </w:p>
    <w:p w14:paraId="74F47DF0" w14:textId="47D3B9E9" w:rsidR="00811B89" w:rsidRPr="00681CB2" w:rsidRDefault="00811B89" w:rsidP="00811B89">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i/>
          <w:iCs/>
          <w:sz w:val="22"/>
          <w:szCs w:val="22"/>
          <w:lang w:eastAsia="es-MX"/>
        </w:rPr>
        <w:t>…</w:t>
      </w:r>
    </w:p>
    <w:p w14:paraId="62905B4B" w14:textId="77777777" w:rsidR="00811B89" w:rsidRPr="00681CB2" w:rsidRDefault="00811B89" w:rsidP="00811B89">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i/>
          <w:iCs/>
          <w:sz w:val="22"/>
          <w:szCs w:val="22"/>
          <w:lang w:eastAsia="es-MX"/>
        </w:rPr>
        <w:t xml:space="preserve">I. Oficinas de la Dirección General; </w:t>
      </w:r>
    </w:p>
    <w:p w14:paraId="570B36DE" w14:textId="77777777" w:rsidR="00811B89" w:rsidRPr="00681CB2" w:rsidRDefault="00811B89" w:rsidP="00811B89">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i/>
          <w:iCs/>
          <w:sz w:val="22"/>
          <w:szCs w:val="22"/>
          <w:lang w:eastAsia="es-MX"/>
        </w:rPr>
        <w:t xml:space="preserve">II. Dirección de Administración, Finanzas y Comercialización; </w:t>
      </w:r>
    </w:p>
    <w:p w14:paraId="3E71C2FE" w14:textId="1740BB6C" w:rsidR="00811B89" w:rsidRPr="00681CB2" w:rsidRDefault="00811B89" w:rsidP="00811B89">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i/>
          <w:iCs/>
          <w:sz w:val="22"/>
          <w:szCs w:val="22"/>
          <w:lang w:eastAsia="es-MX"/>
        </w:rPr>
        <w:t xml:space="preserve">III. Dirección de Construcción y Operación Hidráulica; </w:t>
      </w:r>
    </w:p>
    <w:p w14:paraId="2D526610" w14:textId="77777777" w:rsidR="00811B89" w:rsidRPr="00681CB2" w:rsidRDefault="00811B89" w:rsidP="00811B89">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i/>
          <w:iCs/>
          <w:sz w:val="22"/>
          <w:szCs w:val="22"/>
          <w:lang w:eastAsia="es-MX"/>
        </w:rPr>
        <w:lastRenderedPageBreak/>
        <w:t xml:space="preserve">IV. Delegación Zona Oriente; </w:t>
      </w:r>
    </w:p>
    <w:p w14:paraId="4D223AD8" w14:textId="77777777" w:rsidR="00811B89" w:rsidRPr="00681CB2" w:rsidRDefault="00811B89" w:rsidP="00811B89">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i/>
          <w:iCs/>
          <w:sz w:val="22"/>
          <w:szCs w:val="22"/>
          <w:lang w:eastAsia="es-MX"/>
        </w:rPr>
        <w:t xml:space="preserve">V. Dirección Jurídica; y </w:t>
      </w:r>
    </w:p>
    <w:p w14:paraId="353851CD" w14:textId="77777777" w:rsidR="00811B89" w:rsidRPr="00681CB2" w:rsidRDefault="00811B89" w:rsidP="00811B89">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i/>
          <w:iCs/>
          <w:sz w:val="22"/>
          <w:szCs w:val="22"/>
          <w:lang w:eastAsia="es-MX"/>
        </w:rPr>
        <w:t xml:space="preserve">VI. Contraloría Interna. </w:t>
      </w:r>
    </w:p>
    <w:p w14:paraId="40104854" w14:textId="268D238C" w:rsidR="00811B89" w:rsidRPr="00681CB2" w:rsidRDefault="00811B89" w:rsidP="00796B5F">
      <w:pPr>
        <w:spacing w:before="240" w:after="240" w:line="360" w:lineRule="auto"/>
        <w:jc w:val="both"/>
        <w:rPr>
          <w:rFonts w:ascii="Palatino Linotype" w:hAnsi="Palatino Linotype" w:cs="Arial"/>
          <w:lang w:val="es-MX" w:eastAsia="es-MX"/>
        </w:rPr>
      </w:pPr>
      <w:r w:rsidRPr="00681CB2">
        <w:rPr>
          <w:rFonts w:ascii="Palatino Linotype" w:hAnsi="Palatino Linotype" w:cs="Arial"/>
          <w:lang w:val="es-MX" w:eastAsia="es-MX"/>
        </w:rPr>
        <w:t>Como se observa, el Sujeto Obligado dentro de su estructura orgánica cuenta con diversas áreas administrativas, entre la que se encuentra la Dirección de Administración, Finanzas y Comercialización</w:t>
      </w:r>
      <w:r w:rsidR="003D1A39" w:rsidRPr="00681CB2">
        <w:rPr>
          <w:rFonts w:ascii="Palatino Linotype" w:hAnsi="Palatino Linotype" w:cs="Arial"/>
          <w:lang w:val="es-MX" w:eastAsia="es-MX"/>
        </w:rPr>
        <w:t xml:space="preserve">, la cual entre sus atribuciones </w:t>
      </w:r>
      <w:r w:rsidR="001D4F38" w:rsidRPr="00681CB2">
        <w:rPr>
          <w:rFonts w:ascii="Palatino Linotype" w:hAnsi="Palatino Linotype" w:cs="Arial"/>
          <w:lang w:val="es-MX" w:eastAsia="es-MX"/>
        </w:rPr>
        <w:t>tiene</w:t>
      </w:r>
      <w:r w:rsidR="003D1A39" w:rsidRPr="00681CB2">
        <w:rPr>
          <w:rFonts w:ascii="Palatino Linotype" w:hAnsi="Palatino Linotype" w:cs="Arial"/>
          <w:lang w:val="es-MX" w:eastAsia="es-MX"/>
        </w:rPr>
        <w:t xml:space="preserve"> las siguientes:</w:t>
      </w:r>
    </w:p>
    <w:p w14:paraId="6963723B" w14:textId="668DAF49" w:rsidR="003D1A39" w:rsidRPr="00681CB2" w:rsidRDefault="003D1A39" w:rsidP="003D1A39">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b/>
          <w:i/>
          <w:iCs/>
          <w:sz w:val="22"/>
          <w:szCs w:val="22"/>
          <w:lang w:eastAsia="es-MX"/>
        </w:rPr>
        <w:t>Artículo 27.-</w:t>
      </w:r>
      <w:r w:rsidRPr="00681CB2">
        <w:rPr>
          <w:rFonts w:ascii="Palatino Linotype" w:hAnsi="Palatino Linotype"/>
          <w:i/>
          <w:iCs/>
          <w:sz w:val="22"/>
          <w:szCs w:val="22"/>
          <w:lang w:eastAsia="es-MX"/>
        </w:rPr>
        <w:t xml:space="preserve"> La Dirección de Administración, Finanzas y Comercialización; tendrá las siguientes atribuciones:</w:t>
      </w:r>
    </w:p>
    <w:p w14:paraId="27223666" w14:textId="77777777" w:rsidR="003D1A39" w:rsidRPr="00681CB2" w:rsidRDefault="003D1A39" w:rsidP="003D1A39">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b/>
          <w:i/>
          <w:iCs/>
          <w:sz w:val="22"/>
          <w:szCs w:val="22"/>
          <w:lang w:eastAsia="es-MX"/>
        </w:rPr>
        <w:t>I.</w:t>
      </w:r>
      <w:r w:rsidRPr="00681CB2">
        <w:rPr>
          <w:rFonts w:ascii="Palatino Linotype" w:hAnsi="Palatino Linotype"/>
          <w:i/>
          <w:iCs/>
          <w:sz w:val="22"/>
          <w:szCs w:val="22"/>
          <w:lang w:eastAsia="es-MX"/>
        </w:rPr>
        <w:t xml:space="preserve"> Conducir la administración de los recursos humanos, materiales y financieros del Organismo de conformidad a su misión y objetivo; </w:t>
      </w:r>
    </w:p>
    <w:p w14:paraId="4756486C" w14:textId="4986407B" w:rsidR="003D1A39" w:rsidRPr="00681CB2" w:rsidRDefault="003D1A39" w:rsidP="003D1A39">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i/>
          <w:iCs/>
          <w:sz w:val="22"/>
          <w:szCs w:val="22"/>
          <w:lang w:eastAsia="es-MX"/>
        </w:rPr>
        <w:t>…</w:t>
      </w:r>
    </w:p>
    <w:p w14:paraId="542538F1" w14:textId="77777777" w:rsidR="003D1A39" w:rsidRPr="00681CB2" w:rsidRDefault="003D1A39" w:rsidP="003D1A39">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b/>
          <w:i/>
          <w:iCs/>
          <w:sz w:val="22"/>
          <w:szCs w:val="22"/>
          <w:lang w:eastAsia="es-MX"/>
        </w:rPr>
        <w:t>V.</w:t>
      </w:r>
      <w:r w:rsidRPr="00681CB2">
        <w:rPr>
          <w:rFonts w:ascii="Palatino Linotype" w:hAnsi="Palatino Linotype"/>
          <w:i/>
          <w:iCs/>
          <w:sz w:val="22"/>
          <w:szCs w:val="22"/>
          <w:lang w:eastAsia="es-MX"/>
        </w:rPr>
        <w:t xml:space="preserve"> Tramitar los procedimientos para las adquisiciones de bienes y servicios; </w:t>
      </w:r>
    </w:p>
    <w:p w14:paraId="3A33EE43" w14:textId="60D3A5A4" w:rsidR="003D1A39" w:rsidRPr="00681CB2" w:rsidRDefault="003D1A39" w:rsidP="003D1A39">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i/>
          <w:iCs/>
          <w:sz w:val="22"/>
          <w:szCs w:val="22"/>
          <w:lang w:eastAsia="es-MX"/>
        </w:rPr>
        <w:t>…</w:t>
      </w:r>
    </w:p>
    <w:p w14:paraId="754859F3" w14:textId="77777777" w:rsidR="003D1A39" w:rsidRPr="00681CB2" w:rsidRDefault="003D1A39" w:rsidP="003D1A39">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b/>
          <w:i/>
          <w:iCs/>
          <w:sz w:val="22"/>
          <w:szCs w:val="22"/>
          <w:lang w:eastAsia="es-MX"/>
        </w:rPr>
        <w:t>XI.</w:t>
      </w:r>
      <w:r w:rsidRPr="00681CB2">
        <w:rPr>
          <w:rFonts w:ascii="Palatino Linotype" w:hAnsi="Palatino Linotype"/>
          <w:i/>
          <w:iCs/>
          <w:sz w:val="22"/>
          <w:szCs w:val="22"/>
          <w:lang w:eastAsia="es-MX"/>
        </w:rPr>
        <w:t xml:space="preserve"> Custodiar los documentos mercantiles y títulos de crédito; </w:t>
      </w:r>
    </w:p>
    <w:p w14:paraId="5759A663" w14:textId="69201894" w:rsidR="00B67F97" w:rsidRPr="00681CB2" w:rsidRDefault="001D4F38" w:rsidP="001D4F38">
      <w:pPr>
        <w:spacing w:before="240" w:after="240" w:line="360" w:lineRule="auto"/>
        <w:jc w:val="both"/>
        <w:rPr>
          <w:rFonts w:ascii="Palatino Linotype" w:hAnsi="Palatino Linotype" w:cs="Arial"/>
          <w:lang w:val="es-MX" w:eastAsia="es-MX"/>
        </w:rPr>
      </w:pPr>
      <w:r w:rsidRPr="00681CB2">
        <w:rPr>
          <w:rFonts w:ascii="Palatino Linotype" w:hAnsi="Palatino Linotype" w:cs="Arial"/>
          <w:lang w:val="es-MX" w:eastAsia="es-MX"/>
        </w:rPr>
        <w:t>Asimismo, el Reglamento en mérito menciona que para el despacho eficiente de los asuntos de la Dirección de Administración, Finanzas y Comercialización, contará con una Subdirección de Administración, encargada de todo lo relacionado con los requerimientos de bienes y servicios así como de establecer los procedimientos para la adquisición de los mismos, como lo indican las fracciones I y II del artículo 35:</w:t>
      </w:r>
    </w:p>
    <w:p w14:paraId="506402EB" w14:textId="77777777" w:rsidR="0048617A" w:rsidRPr="00681CB2" w:rsidRDefault="0048617A" w:rsidP="0048617A">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b/>
          <w:i/>
          <w:iCs/>
          <w:sz w:val="22"/>
          <w:szCs w:val="22"/>
          <w:lang w:eastAsia="es-MX"/>
        </w:rPr>
        <w:t>Artículo 35.-</w:t>
      </w:r>
      <w:r w:rsidRPr="00681CB2">
        <w:rPr>
          <w:rFonts w:ascii="Palatino Linotype" w:hAnsi="Palatino Linotype"/>
          <w:i/>
          <w:iCs/>
          <w:sz w:val="22"/>
          <w:szCs w:val="22"/>
          <w:lang w:eastAsia="es-MX"/>
        </w:rPr>
        <w:t xml:space="preserve"> La </w:t>
      </w:r>
      <w:r w:rsidRPr="00681CB2">
        <w:rPr>
          <w:rFonts w:ascii="Palatino Linotype" w:hAnsi="Palatino Linotype"/>
          <w:b/>
          <w:i/>
          <w:iCs/>
          <w:sz w:val="22"/>
          <w:szCs w:val="22"/>
          <w:lang w:eastAsia="es-MX"/>
        </w:rPr>
        <w:t>Subdirección de Administración</w:t>
      </w:r>
      <w:r w:rsidRPr="00681CB2">
        <w:rPr>
          <w:rFonts w:ascii="Palatino Linotype" w:hAnsi="Palatino Linotype"/>
          <w:i/>
          <w:iCs/>
          <w:sz w:val="22"/>
          <w:szCs w:val="22"/>
          <w:lang w:eastAsia="es-MX"/>
        </w:rPr>
        <w:t xml:space="preserve"> tendrá a su cargo las siguientes atribuciones: </w:t>
      </w:r>
    </w:p>
    <w:p w14:paraId="27D0DB79" w14:textId="77777777" w:rsidR="0048617A" w:rsidRPr="00681CB2" w:rsidRDefault="0048617A" w:rsidP="0048617A">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b/>
          <w:i/>
          <w:iCs/>
          <w:sz w:val="22"/>
          <w:szCs w:val="22"/>
          <w:lang w:eastAsia="es-MX"/>
        </w:rPr>
        <w:t>I.</w:t>
      </w:r>
      <w:r w:rsidRPr="00681CB2">
        <w:rPr>
          <w:rFonts w:ascii="Palatino Linotype" w:hAnsi="Palatino Linotype"/>
          <w:i/>
          <w:iCs/>
          <w:sz w:val="22"/>
          <w:szCs w:val="22"/>
          <w:lang w:eastAsia="es-MX"/>
        </w:rPr>
        <w:t xml:space="preserve"> Consolidar los requerimientos de bienes y servicios de las Unidades Administrativas con base a su programación; </w:t>
      </w:r>
    </w:p>
    <w:p w14:paraId="12806C3A" w14:textId="77777777" w:rsidR="0048617A" w:rsidRPr="00681CB2" w:rsidRDefault="0048617A" w:rsidP="0048617A">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i/>
          <w:iCs/>
          <w:sz w:val="22"/>
          <w:szCs w:val="22"/>
          <w:lang w:eastAsia="es-MX"/>
        </w:rPr>
        <w:t>I</w:t>
      </w:r>
      <w:r w:rsidRPr="00681CB2">
        <w:rPr>
          <w:rFonts w:ascii="Palatino Linotype" w:hAnsi="Palatino Linotype"/>
          <w:b/>
          <w:i/>
          <w:iCs/>
          <w:sz w:val="22"/>
          <w:szCs w:val="22"/>
          <w:lang w:eastAsia="es-MX"/>
        </w:rPr>
        <w:t>I.</w:t>
      </w:r>
      <w:r w:rsidRPr="00681CB2">
        <w:rPr>
          <w:rFonts w:ascii="Palatino Linotype" w:hAnsi="Palatino Linotype"/>
          <w:i/>
          <w:iCs/>
          <w:sz w:val="22"/>
          <w:szCs w:val="22"/>
          <w:lang w:eastAsia="es-MX"/>
        </w:rPr>
        <w:t xml:space="preserve"> Establecer e implementar los procedimientos para adquirir, recibir, almacenar, registrar, controlar y distribuir los bienes y servicios; </w:t>
      </w:r>
    </w:p>
    <w:p w14:paraId="7DBB01DA" w14:textId="69496D35" w:rsidR="001D4F38" w:rsidRPr="00681CB2" w:rsidRDefault="001D4F38" w:rsidP="000E7792">
      <w:pPr>
        <w:spacing w:before="240" w:after="240" w:line="360" w:lineRule="auto"/>
        <w:jc w:val="both"/>
        <w:rPr>
          <w:rFonts w:ascii="Palatino Linotype" w:hAnsi="Palatino Linotype" w:cs="Arial"/>
          <w:lang w:val="es-MX" w:eastAsia="es-MX"/>
        </w:rPr>
      </w:pPr>
      <w:r w:rsidRPr="00681CB2">
        <w:rPr>
          <w:rFonts w:ascii="Palatino Linotype" w:hAnsi="Palatino Linotype" w:cs="Arial"/>
          <w:lang w:val="es-MX" w:eastAsia="es-MX"/>
        </w:rPr>
        <w:lastRenderedPageBreak/>
        <w:t xml:space="preserve">De igual forma, dicha </w:t>
      </w:r>
      <w:r w:rsidR="000E7792" w:rsidRPr="00681CB2">
        <w:rPr>
          <w:rFonts w:ascii="Palatino Linotype" w:hAnsi="Palatino Linotype" w:cs="Arial"/>
          <w:lang w:val="es-MX" w:eastAsia="es-MX"/>
        </w:rPr>
        <w:t>Subdirección</w:t>
      </w:r>
      <w:r w:rsidRPr="00681CB2">
        <w:rPr>
          <w:rFonts w:ascii="Palatino Linotype" w:hAnsi="Palatino Linotype" w:cs="Arial"/>
          <w:lang w:val="es-MX" w:eastAsia="es-MX"/>
        </w:rPr>
        <w:t xml:space="preserve"> cuenta con una estructura orgánica que le permite repartir las tareas a desempeñar a </w:t>
      </w:r>
      <w:r w:rsidR="000E7792" w:rsidRPr="00681CB2">
        <w:rPr>
          <w:rFonts w:ascii="Palatino Linotype" w:hAnsi="Palatino Linotype" w:cs="Arial"/>
          <w:lang w:val="es-MX" w:eastAsia="es-MX"/>
        </w:rPr>
        <w:t xml:space="preserve">los diferentes </w:t>
      </w:r>
      <w:r w:rsidRPr="00681CB2">
        <w:rPr>
          <w:rFonts w:ascii="Palatino Linotype" w:hAnsi="Palatino Linotype" w:cs="Arial"/>
          <w:lang w:val="es-MX" w:eastAsia="es-MX"/>
        </w:rPr>
        <w:t>departamento</w:t>
      </w:r>
      <w:r w:rsidR="000E7792" w:rsidRPr="00681CB2">
        <w:rPr>
          <w:rFonts w:ascii="Palatino Linotype" w:hAnsi="Palatino Linotype" w:cs="Arial"/>
          <w:lang w:val="es-MX" w:eastAsia="es-MX"/>
        </w:rPr>
        <w:t>s</w:t>
      </w:r>
      <w:r w:rsidRPr="00681CB2">
        <w:rPr>
          <w:rFonts w:cs="Arial"/>
          <w:vertAlign w:val="superscript"/>
          <w:lang w:val="es-MX"/>
        </w:rPr>
        <w:footnoteReference w:id="4"/>
      </w:r>
      <w:r w:rsidR="000E7792" w:rsidRPr="00681CB2">
        <w:rPr>
          <w:rFonts w:ascii="Palatino Linotype" w:hAnsi="Palatino Linotype" w:cs="Arial"/>
          <w:lang w:val="es-MX" w:eastAsia="es-MX"/>
        </w:rPr>
        <w:t xml:space="preserve"> que la conforman</w:t>
      </w:r>
      <w:r w:rsidRPr="00681CB2">
        <w:rPr>
          <w:rFonts w:ascii="Palatino Linotype" w:hAnsi="Palatino Linotype" w:cs="Arial"/>
          <w:lang w:val="es-MX" w:eastAsia="es-MX"/>
        </w:rPr>
        <w:t>, entre los que se encuentra e</w:t>
      </w:r>
      <w:r w:rsidR="000E7792" w:rsidRPr="00681CB2">
        <w:rPr>
          <w:rFonts w:ascii="Palatino Linotype" w:hAnsi="Palatino Linotype" w:cs="Arial"/>
          <w:lang w:val="es-MX" w:eastAsia="es-MX"/>
        </w:rPr>
        <w:t>l departamento de Adquisiciones, al cual se le confieren las siguientes atribuciones:</w:t>
      </w:r>
    </w:p>
    <w:p w14:paraId="11C302B6" w14:textId="77777777" w:rsidR="0048617A" w:rsidRPr="00681CB2" w:rsidRDefault="0048617A" w:rsidP="0048617A">
      <w:pPr>
        <w:shd w:val="clear" w:color="auto" w:fill="FFFFFF"/>
        <w:ind w:left="851" w:right="900"/>
        <w:jc w:val="both"/>
        <w:rPr>
          <w:rFonts w:ascii="Palatino Linotype" w:hAnsi="Palatino Linotype"/>
          <w:i/>
          <w:iCs/>
          <w:sz w:val="22"/>
          <w:szCs w:val="22"/>
          <w:lang w:eastAsia="es-MX"/>
        </w:rPr>
      </w:pPr>
    </w:p>
    <w:p w14:paraId="014BCA4D" w14:textId="77777777" w:rsidR="0048617A" w:rsidRPr="00681CB2" w:rsidRDefault="0048617A" w:rsidP="0048617A">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b/>
          <w:i/>
          <w:iCs/>
          <w:sz w:val="22"/>
          <w:szCs w:val="22"/>
          <w:lang w:eastAsia="es-MX"/>
        </w:rPr>
        <w:t>Artículo 37.-</w:t>
      </w:r>
      <w:r w:rsidRPr="00681CB2">
        <w:rPr>
          <w:rFonts w:ascii="Palatino Linotype" w:hAnsi="Palatino Linotype"/>
          <w:i/>
          <w:iCs/>
          <w:sz w:val="22"/>
          <w:szCs w:val="22"/>
          <w:lang w:eastAsia="es-MX"/>
        </w:rPr>
        <w:t xml:space="preserve"> El Departamento de Adquisiciones tendrá las siguientes atribuciones: </w:t>
      </w:r>
    </w:p>
    <w:p w14:paraId="539C98B4" w14:textId="77777777" w:rsidR="0048617A" w:rsidRPr="00681CB2" w:rsidRDefault="0048617A" w:rsidP="0048617A">
      <w:pPr>
        <w:shd w:val="clear" w:color="auto" w:fill="FFFFFF"/>
        <w:ind w:left="851" w:right="900"/>
        <w:jc w:val="both"/>
        <w:rPr>
          <w:rFonts w:ascii="Palatino Linotype" w:hAnsi="Palatino Linotype"/>
          <w:b/>
          <w:i/>
          <w:iCs/>
          <w:sz w:val="22"/>
          <w:szCs w:val="22"/>
          <w:lang w:eastAsia="es-MX"/>
        </w:rPr>
      </w:pPr>
      <w:r w:rsidRPr="00681CB2">
        <w:rPr>
          <w:rFonts w:ascii="Palatino Linotype" w:hAnsi="Palatino Linotype"/>
          <w:b/>
          <w:i/>
          <w:iCs/>
          <w:sz w:val="22"/>
          <w:szCs w:val="22"/>
          <w:lang w:eastAsia="es-MX"/>
        </w:rPr>
        <w:t xml:space="preserve">I. Elaborar el programa anual de adquisiciones de bienes y servicios para su presentación ante el Comité de Adquisiciones; </w:t>
      </w:r>
    </w:p>
    <w:p w14:paraId="399B1C17" w14:textId="77777777" w:rsidR="0048617A" w:rsidRPr="00681CB2" w:rsidRDefault="0048617A" w:rsidP="0048617A">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b/>
          <w:i/>
          <w:iCs/>
          <w:sz w:val="22"/>
          <w:szCs w:val="22"/>
          <w:lang w:eastAsia="es-MX"/>
        </w:rPr>
        <w:t>II. Ejecutar los procedimientos de licitación pública, invitación restringida y adjudicación directa, para la adquisición de bienes y servicios</w:t>
      </w:r>
      <w:r w:rsidRPr="00681CB2">
        <w:rPr>
          <w:rFonts w:ascii="Palatino Linotype" w:hAnsi="Palatino Linotype"/>
          <w:i/>
          <w:iCs/>
          <w:sz w:val="22"/>
          <w:szCs w:val="22"/>
          <w:lang w:eastAsia="es-MX"/>
        </w:rPr>
        <w:t xml:space="preserve">; </w:t>
      </w:r>
    </w:p>
    <w:p w14:paraId="0E917679" w14:textId="77777777" w:rsidR="0048617A" w:rsidRPr="00681CB2" w:rsidRDefault="0048617A" w:rsidP="0048617A">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i/>
          <w:iCs/>
          <w:sz w:val="22"/>
          <w:szCs w:val="22"/>
          <w:lang w:eastAsia="es-MX"/>
        </w:rPr>
        <w:t xml:space="preserve">III. Realizar y actualizar los estudios de mercado para la integración de presupuestos base, para la adquisición de bienes y servicios; </w:t>
      </w:r>
    </w:p>
    <w:p w14:paraId="7D7ACACF" w14:textId="77777777" w:rsidR="0048617A" w:rsidRPr="00681CB2" w:rsidRDefault="0048617A" w:rsidP="0048617A">
      <w:pPr>
        <w:shd w:val="clear" w:color="auto" w:fill="FFFFFF"/>
        <w:ind w:left="851" w:right="900"/>
        <w:jc w:val="both"/>
        <w:rPr>
          <w:rFonts w:ascii="Palatino Linotype" w:hAnsi="Palatino Linotype"/>
          <w:b/>
          <w:i/>
          <w:iCs/>
          <w:sz w:val="22"/>
          <w:szCs w:val="22"/>
          <w:lang w:eastAsia="es-MX"/>
        </w:rPr>
      </w:pPr>
      <w:r w:rsidRPr="00681CB2">
        <w:rPr>
          <w:rFonts w:ascii="Palatino Linotype" w:hAnsi="Palatino Linotype"/>
          <w:b/>
          <w:i/>
          <w:iCs/>
          <w:sz w:val="22"/>
          <w:szCs w:val="22"/>
          <w:lang w:eastAsia="es-MX"/>
        </w:rPr>
        <w:t xml:space="preserve">IV. Elaborar y actualizar el catálogo de proveedores de bienes y servicios del Organismo; </w:t>
      </w:r>
    </w:p>
    <w:p w14:paraId="6AC352A5" w14:textId="77777777" w:rsidR="0048617A" w:rsidRPr="00681CB2" w:rsidRDefault="0048617A" w:rsidP="0048617A">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i/>
          <w:iCs/>
          <w:sz w:val="22"/>
          <w:szCs w:val="22"/>
          <w:lang w:eastAsia="es-MX"/>
        </w:rPr>
        <w:t xml:space="preserve">V. Administrar, vigilar y controlar los almacenes del Organismo; y </w:t>
      </w:r>
    </w:p>
    <w:p w14:paraId="62467010" w14:textId="77777777" w:rsidR="0048617A" w:rsidRPr="00681CB2" w:rsidRDefault="0048617A" w:rsidP="0048617A">
      <w:pPr>
        <w:shd w:val="clear" w:color="auto" w:fill="FFFFFF"/>
        <w:ind w:left="851" w:right="900"/>
        <w:jc w:val="both"/>
        <w:rPr>
          <w:rFonts w:ascii="Palatino Linotype" w:hAnsi="Palatino Linotype"/>
          <w:i/>
          <w:iCs/>
          <w:sz w:val="22"/>
          <w:szCs w:val="22"/>
          <w:lang w:eastAsia="es-MX"/>
        </w:rPr>
      </w:pPr>
      <w:r w:rsidRPr="00681CB2">
        <w:rPr>
          <w:rFonts w:ascii="Palatino Linotype" w:hAnsi="Palatino Linotype"/>
          <w:i/>
          <w:iCs/>
          <w:sz w:val="22"/>
          <w:szCs w:val="22"/>
          <w:lang w:eastAsia="es-MX"/>
        </w:rPr>
        <w:t xml:space="preserve">VI. Las demás que le confieran otras disposiciones legales, y las que le encomiende el Subdirector de Administración. </w:t>
      </w:r>
    </w:p>
    <w:p w14:paraId="4B329BE1" w14:textId="3F190141" w:rsidR="00CF40CA" w:rsidRPr="00681CB2" w:rsidRDefault="0035052A" w:rsidP="0035052A">
      <w:pPr>
        <w:spacing w:before="240" w:after="240" w:line="360" w:lineRule="auto"/>
        <w:jc w:val="both"/>
        <w:rPr>
          <w:rFonts w:ascii="Palatino Linotype" w:hAnsi="Palatino Linotype" w:cs="Arial"/>
          <w:lang w:val="es-MX" w:eastAsia="es-MX"/>
        </w:rPr>
      </w:pPr>
      <w:r w:rsidRPr="00681CB2">
        <w:rPr>
          <w:rFonts w:ascii="Palatino Linotype" w:hAnsi="Palatino Linotype" w:cs="Arial"/>
          <w:lang w:val="es-MX" w:eastAsia="es-MX"/>
        </w:rPr>
        <w:t xml:space="preserve">Así, de </w:t>
      </w:r>
      <w:r w:rsidR="00896F2F" w:rsidRPr="00681CB2">
        <w:rPr>
          <w:rFonts w:ascii="Palatino Linotype" w:hAnsi="Palatino Linotype" w:cs="Arial"/>
          <w:lang w:val="es-MX" w:eastAsia="es-MX"/>
        </w:rPr>
        <w:t xml:space="preserve">los preceptos jurídicos citados, se concluye que existe una Dirección que cuenta con diferentes unidades administrativas, a las que les es </w:t>
      </w:r>
      <w:r w:rsidR="00674A16" w:rsidRPr="00681CB2">
        <w:rPr>
          <w:rFonts w:ascii="Palatino Linotype" w:hAnsi="Palatino Linotype" w:cs="Arial"/>
          <w:lang w:val="es-MX" w:eastAsia="es-MX"/>
        </w:rPr>
        <w:t>posible</w:t>
      </w:r>
      <w:r w:rsidR="00896F2F" w:rsidRPr="00681CB2">
        <w:rPr>
          <w:rFonts w:ascii="Palatino Linotype" w:hAnsi="Palatino Linotype" w:cs="Arial"/>
          <w:lang w:val="es-MX" w:eastAsia="es-MX"/>
        </w:rPr>
        <w:t xml:space="preserve"> requerir la información </w:t>
      </w:r>
      <w:r w:rsidR="00682AF4" w:rsidRPr="00681CB2">
        <w:rPr>
          <w:rFonts w:ascii="Palatino Linotype" w:hAnsi="Palatino Linotype" w:cs="Arial"/>
          <w:lang w:val="es-MX" w:eastAsia="es-MX"/>
        </w:rPr>
        <w:t xml:space="preserve">referente a los proveedores, comercializadoras, contratistas con los que se haya celebrado algún instrumento jurídico, ya que </w:t>
      </w:r>
      <w:r w:rsidR="004710F6" w:rsidRPr="00681CB2">
        <w:rPr>
          <w:rFonts w:ascii="Palatino Linotype" w:hAnsi="Palatino Linotype" w:cs="Arial"/>
          <w:lang w:val="es-MX" w:eastAsia="es-MX"/>
        </w:rPr>
        <w:t>e</w:t>
      </w:r>
      <w:r w:rsidR="00682AF4" w:rsidRPr="00681CB2">
        <w:rPr>
          <w:rFonts w:ascii="Palatino Linotype" w:hAnsi="Palatino Linotype" w:cs="Arial"/>
          <w:lang w:val="es-MX" w:eastAsia="es-MX"/>
        </w:rPr>
        <w:t xml:space="preserve">l Departamento de Administración, se encarga de </w:t>
      </w:r>
      <w:r w:rsidR="00674A16" w:rsidRPr="00681CB2">
        <w:rPr>
          <w:rFonts w:ascii="Palatino Linotype" w:hAnsi="Palatino Linotype" w:cs="Arial"/>
          <w:lang w:val="es-MX" w:eastAsia="es-MX"/>
        </w:rPr>
        <w:t xml:space="preserve">la elaboración del programa anual de adquisiciones </w:t>
      </w:r>
      <w:r w:rsidR="00674A16" w:rsidRPr="00681CB2">
        <w:rPr>
          <w:rFonts w:ascii="Palatino Linotype" w:hAnsi="Palatino Linotype" w:cs="Arial"/>
          <w:lang w:val="es-MX" w:eastAsia="es-MX"/>
        </w:rPr>
        <w:lastRenderedPageBreak/>
        <w:t>así como de ejecutar los procedimientos de licitación pública, invitaci</w:t>
      </w:r>
      <w:r w:rsidR="006F1146" w:rsidRPr="00681CB2">
        <w:rPr>
          <w:rFonts w:ascii="Palatino Linotype" w:hAnsi="Palatino Linotype" w:cs="Arial"/>
          <w:lang w:val="es-MX" w:eastAsia="es-MX"/>
        </w:rPr>
        <w:t xml:space="preserve">ón restringida </w:t>
      </w:r>
      <w:r w:rsidR="00674A16" w:rsidRPr="00681CB2">
        <w:rPr>
          <w:rFonts w:ascii="Palatino Linotype" w:hAnsi="Palatino Linotype" w:cs="Arial"/>
          <w:lang w:val="es-MX" w:eastAsia="es-MX"/>
        </w:rPr>
        <w:t>y adjudicación directa, para la adquisición de bienes y servicios</w:t>
      </w:r>
      <w:r w:rsidR="006F1146" w:rsidRPr="00681CB2">
        <w:rPr>
          <w:rFonts w:ascii="Palatino Linotype" w:hAnsi="Palatino Linotype" w:cs="Arial"/>
          <w:lang w:val="es-MX" w:eastAsia="es-MX"/>
        </w:rPr>
        <w:t xml:space="preserve"> del Sujeto Obligado.</w:t>
      </w:r>
    </w:p>
    <w:p w14:paraId="4322B41D" w14:textId="3E3FDC45" w:rsidR="0035052A" w:rsidRPr="00681CB2" w:rsidRDefault="00CF40CA" w:rsidP="0035052A">
      <w:pPr>
        <w:spacing w:before="240" w:after="240" w:line="360" w:lineRule="auto"/>
        <w:jc w:val="both"/>
        <w:rPr>
          <w:rFonts w:ascii="Palatino Linotype" w:hAnsi="Palatino Linotype" w:cs="Arial"/>
        </w:rPr>
      </w:pPr>
      <w:r w:rsidRPr="00681CB2">
        <w:rPr>
          <w:rFonts w:ascii="Palatino Linotype" w:hAnsi="Palatino Linotype" w:cs="Arial"/>
          <w:lang w:val="es-MX" w:eastAsia="es-MX"/>
        </w:rPr>
        <w:t xml:space="preserve">En ese sentido, es prudente referir que las adquisiciones de bienes y servicios </w:t>
      </w:r>
      <w:r w:rsidR="00674A16" w:rsidRPr="00681CB2">
        <w:rPr>
          <w:rFonts w:ascii="Palatino Linotype" w:hAnsi="Palatino Linotype" w:cs="Arial"/>
          <w:lang w:val="es-MX" w:eastAsia="es-MX"/>
        </w:rPr>
        <w:t xml:space="preserve">se tienen que hacer de conformidad con la </w:t>
      </w:r>
      <w:r w:rsidRPr="00681CB2">
        <w:rPr>
          <w:rFonts w:ascii="Palatino Linotype" w:hAnsi="Palatino Linotype" w:cs="Arial"/>
          <w:lang w:val="es-MX" w:eastAsia="es-MX"/>
        </w:rPr>
        <w:t>Ley de Contratación Pública del Estado de M</w:t>
      </w:r>
      <w:r w:rsidR="0035052A" w:rsidRPr="00681CB2">
        <w:rPr>
          <w:rFonts w:ascii="Palatino Linotype" w:hAnsi="Palatino Linotype" w:cs="Arial"/>
          <w:lang w:val="es-MX" w:eastAsia="es-MX"/>
        </w:rPr>
        <w:t xml:space="preserve">éxico y Municipios, </w:t>
      </w:r>
      <w:r w:rsidR="0035052A" w:rsidRPr="00681CB2">
        <w:rPr>
          <w:rFonts w:ascii="Palatino Linotype" w:hAnsi="Palatino Linotype" w:cs="Arial"/>
        </w:rPr>
        <w:t xml:space="preserve">la </w:t>
      </w:r>
      <w:r w:rsidR="00D749E4" w:rsidRPr="00681CB2">
        <w:rPr>
          <w:rFonts w:ascii="Palatino Linotype" w:hAnsi="Palatino Linotype" w:cs="Arial"/>
        </w:rPr>
        <w:t xml:space="preserve">cual </w:t>
      </w:r>
      <w:r w:rsidR="0035052A" w:rsidRPr="00681CB2">
        <w:rPr>
          <w:rFonts w:ascii="Palatino Linotype" w:hAnsi="Palatino Linotype" w:cs="Arial"/>
        </w:rPr>
        <w:t xml:space="preserve">tiene como objeto regular los actos relativos a la planeación, programación, </w:t>
      </w:r>
      <w:proofErr w:type="spellStart"/>
      <w:r w:rsidR="0035052A" w:rsidRPr="00681CB2">
        <w:rPr>
          <w:rFonts w:ascii="Palatino Linotype" w:hAnsi="Palatino Linotype" w:cs="Arial"/>
        </w:rPr>
        <w:t>presupuestación</w:t>
      </w:r>
      <w:proofErr w:type="spellEnd"/>
      <w:r w:rsidR="0035052A" w:rsidRPr="00681CB2">
        <w:rPr>
          <w:rFonts w:ascii="Palatino Linotype" w:hAnsi="Palatino Linotype" w:cs="Arial"/>
        </w:rPr>
        <w:t>, ejecución y control de la adquisición, enajenación y arrendamiento de bienes y la contratación de cualquier naturaleza que realicen los ayuntamientos de los municipios</w:t>
      </w:r>
      <w:r w:rsidR="00D749E4" w:rsidRPr="00681CB2">
        <w:rPr>
          <w:rFonts w:ascii="Palatino Linotype" w:hAnsi="Palatino Linotype" w:cs="Arial"/>
        </w:rPr>
        <w:t xml:space="preserve"> y sus organismos auxiliares </w:t>
      </w:r>
      <w:r w:rsidR="0035052A" w:rsidRPr="00681CB2">
        <w:rPr>
          <w:rFonts w:ascii="Palatino Linotype" w:hAnsi="Palatino Linotype" w:cs="Arial"/>
        </w:rPr>
        <w:t>que componen el Estado de México</w:t>
      </w:r>
      <w:r w:rsidR="0035052A" w:rsidRPr="00681CB2">
        <w:rPr>
          <w:rStyle w:val="Refdenotaalpie"/>
          <w:rFonts w:ascii="Palatino Linotype" w:hAnsi="Palatino Linotype" w:cs="Arial"/>
        </w:rPr>
        <w:footnoteReference w:id="5"/>
      </w:r>
      <w:r w:rsidR="0035052A" w:rsidRPr="00681CB2">
        <w:rPr>
          <w:rFonts w:ascii="Palatino Linotype" w:hAnsi="Palatino Linotype" w:cs="Arial"/>
        </w:rPr>
        <w:t>, dentro de dicha normatividad, se establecen los procedimientos de contratación y adquisición comprendidos</w:t>
      </w:r>
      <w:r w:rsidR="00D749E4" w:rsidRPr="00681CB2">
        <w:rPr>
          <w:rFonts w:ascii="Palatino Linotype" w:hAnsi="Palatino Linotype" w:cs="Arial"/>
        </w:rPr>
        <w:t>,</w:t>
      </w:r>
      <w:r w:rsidR="0035052A" w:rsidRPr="00681CB2">
        <w:rPr>
          <w:rFonts w:ascii="Palatino Linotype" w:hAnsi="Palatino Linotype" w:cs="Arial"/>
        </w:rPr>
        <w:t xml:space="preserve"> así como los medios por los que serán obtenidos:</w:t>
      </w:r>
    </w:p>
    <w:p w14:paraId="2564A476" w14:textId="77777777" w:rsidR="0035052A" w:rsidRPr="00681CB2" w:rsidRDefault="0035052A" w:rsidP="0035052A">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
          <w:bCs/>
          <w:i/>
          <w:iCs/>
          <w:sz w:val="22"/>
          <w:szCs w:val="22"/>
        </w:rPr>
        <w:t>“Artículo 4.-</w:t>
      </w:r>
      <w:r w:rsidRPr="00681CB2">
        <w:rPr>
          <w:rStyle w:val="normaltextrun"/>
          <w:rFonts w:ascii="Palatino Linotype" w:hAnsi="Palatino Linotype" w:cs="Segoe UI"/>
          <w:bCs/>
          <w:i/>
          <w:iCs/>
          <w:sz w:val="22"/>
          <w:szCs w:val="22"/>
        </w:rPr>
        <w:t xml:space="preserve"> Para los efectos de esta Ley, en las adquisiciones, enajenaciones, arrendamientos y servicios, quedan comprendidos: </w:t>
      </w:r>
    </w:p>
    <w:p w14:paraId="21061A3C" w14:textId="77777777" w:rsidR="0035052A" w:rsidRPr="00681CB2" w:rsidRDefault="0035052A" w:rsidP="0035052A">
      <w:pPr>
        <w:pStyle w:val="paragraph"/>
        <w:numPr>
          <w:ilvl w:val="0"/>
          <w:numId w:val="32"/>
        </w:numPr>
        <w:spacing w:before="0" w:beforeAutospacing="0" w:after="0" w:afterAutospacing="0"/>
        <w:ind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La adquisición de bienes muebles.</w:t>
      </w:r>
    </w:p>
    <w:p w14:paraId="022941B3" w14:textId="77777777" w:rsidR="0035052A" w:rsidRPr="00681CB2" w:rsidRDefault="0035052A" w:rsidP="0035052A">
      <w:pPr>
        <w:pStyle w:val="paragraph"/>
        <w:numPr>
          <w:ilvl w:val="0"/>
          <w:numId w:val="32"/>
        </w:numPr>
        <w:spacing w:before="0" w:beforeAutospacing="0" w:after="0" w:afterAutospacing="0"/>
        <w:ind w:right="1041"/>
        <w:jc w:val="both"/>
        <w:textAlignment w:val="baseline"/>
        <w:rPr>
          <w:rStyle w:val="normaltextrun"/>
          <w:rFonts w:cs="Segoe UI"/>
          <w:bCs/>
          <w:i/>
          <w:iCs/>
          <w:sz w:val="22"/>
          <w:szCs w:val="22"/>
        </w:rPr>
      </w:pPr>
      <w:r w:rsidRPr="00681CB2">
        <w:rPr>
          <w:rStyle w:val="normaltextrun"/>
          <w:rFonts w:ascii="Palatino Linotype" w:hAnsi="Palatino Linotype" w:cs="Segoe UI"/>
          <w:bCs/>
          <w:i/>
          <w:iCs/>
          <w:sz w:val="22"/>
          <w:szCs w:val="22"/>
        </w:rPr>
        <w:t xml:space="preserve">La adquisición de bienes inmuebles, a través de compraventa. </w:t>
      </w:r>
    </w:p>
    <w:p w14:paraId="03CA1199" w14:textId="77777777" w:rsidR="0035052A" w:rsidRPr="00681CB2" w:rsidRDefault="0035052A" w:rsidP="0035052A">
      <w:pPr>
        <w:pStyle w:val="paragraph"/>
        <w:numPr>
          <w:ilvl w:val="0"/>
          <w:numId w:val="32"/>
        </w:numPr>
        <w:spacing w:before="0" w:beforeAutospacing="0" w:after="0" w:afterAutospacing="0"/>
        <w:ind w:right="1041"/>
        <w:jc w:val="both"/>
        <w:textAlignment w:val="baseline"/>
        <w:rPr>
          <w:rStyle w:val="normaltextrun"/>
          <w:rFonts w:cs="Segoe UI"/>
          <w:bCs/>
          <w:i/>
          <w:iCs/>
          <w:sz w:val="22"/>
          <w:szCs w:val="22"/>
        </w:rPr>
      </w:pPr>
      <w:r w:rsidRPr="00681CB2">
        <w:rPr>
          <w:rStyle w:val="normaltextrun"/>
          <w:rFonts w:ascii="Palatino Linotype" w:hAnsi="Palatino Linotype" w:cs="Segoe UI"/>
          <w:bCs/>
          <w:i/>
          <w:iCs/>
          <w:sz w:val="22"/>
          <w:szCs w:val="22"/>
        </w:rPr>
        <w:t xml:space="preserve">La enajenación de bienes muebles e inmuebles. </w:t>
      </w:r>
    </w:p>
    <w:p w14:paraId="7A11DC71" w14:textId="77777777" w:rsidR="0035052A" w:rsidRPr="00681CB2" w:rsidRDefault="0035052A" w:rsidP="0035052A">
      <w:pPr>
        <w:pStyle w:val="paragraph"/>
        <w:numPr>
          <w:ilvl w:val="0"/>
          <w:numId w:val="32"/>
        </w:numPr>
        <w:spacing w:before="0" w:beforeAutospacing="0" w:after="0" w:afterAutospacing="0"/>
        <w:ind w:right="1041"/>
        <w:jc w:val="both"/>
        <w:textAlignment w:val="baseline"/>
        <w:rPr>
          <w:rStyle w:val="normaltextrun"/>
          <w:rFonts w:cs="Segoe UI"/>
          <w:bCs/>
          <w:i/>
          <w:iCs/>
          <w:sz w:val="22"/>
          <w:szCs w:val="22"/>
        </w:rPr>
      </w:pPr>
      <w:r w:rsidRPr="00681CB2">
        <w:rPr>
          <w:rStyle w:val="normaltextrun"/>
          <w:rFonts w:ascii="Palatino Linotype" w:hAnsi="Palatino Linotype" w:cs="Segoe UI"/>
          <w:bCs/>
          <w:i/>
          <w:iCs/>
          <w:sz w:val="22"/>
          <w:szCs w:val="22"/>
        </w:rPr>
        <w:t xml:space="preserve">El arrendamiento de bienes muebles e inmuebles. </w:t>
      </w:r>
    </w:p>
    <w:p w14:paraId="1A42E549" w14:textId="77777777" w:rsidR="0035052A" w:rsidRPr="00681CB2" w:rsidRDefault="0035052A" w:rsidP="0035052A">
      <w:pPr>
        <w:pStyle w:val="paragraph"/>
        <w:numPr>
          <w:ilvl w:val="0"/>
          <w:numId w:val="32"/>
        </w:numPr>
        <w:spacing w:before="0" w:beforeAutospacing="0" w:after="0" w:afterAutospacing="0"/>
        <w:ind w:right="1041"/>
        <w:jc w:val="both"/>
        <w:textAlignment w:val="baseline"/>
        <w:rPr>
          <w:rStyle w:val="normaltextrun"/>
          <w:rFonts w:cs="Segoe UI"/>
          <w:bCs/>
          <w:i/>
          <w:iCs/>
          <w:sz w:val="22"/>
          <w:szCs w:val="22"/>
        </w:rPr>
      </w:pPr>
      <w:r w:rsidRPr="00681CB2">
        <w:rPr>
          <w:rStyle w:val="normaltextrun"/>
          <w:rFonts w:ascii="Palatino Linotype" w:hAnsi="Palatino Linotype" w:cs="Segoe UI"/>
          <w:bCs/>
          <w:i/>
          <w:iCs/>
          <w:sz w:val="22"/>
          <w:szCs w:val="22"/>
        </w:rPr>
        <w:lastRenderedPageBreak/>
        <w:t xml:space="preserve">La contratación de los servicios, relacionados con bienes muebles que se encuentran incorporados o adheridos a bienes inmuebles, cuya instalación o mantenimiento no implique modificación al bien inmueble. </w:t>
      </w:r>
    </w:p>
    <w:p w14:paraId="1362F106" w14:textId="77777777" w:rsidR="0035052A" w:rsidRPr="00681CB2" w:rsidRDefault="0035052A" w:rsidP="0035052A">
      <w:pPr>
        <w:pStyle w:val="paragraph"/>
        <w:numPr>
          <w:ilvl w:val="0"/>
          <w:numId w:val="32"/>
        </w:numPr>
        <w:spacing w:before="0" w:beforeAutospacing="0" w:after="0" w:afterAutospacing="0"/>
        <w:ind w:right="1041"/>
        <w:jc w:val="both"/>
        <w:textAlignment w:val="baseline"/>
        <w:rPr>
          <w:rStyle w:val="normaltextrun"/>
          <w:rFonts w:cs="Segoe UI"/>
          <w:bCs/>
          <w:i/>
          <w:iCs/>
          <w:sz w:val="22"/>
          <w:szCs w:val="22"/>
        </w:rPr>
      </w:pPr>
      <w:r w:rsidRPr="00681CB2">
        <w:rPr>
          <w:rStyle w:val="normaltextrun"/>
          <w:rFonts w:ascii="Palatino Linotype" w:hAnsi="Palatino Linotype" w:cs="Segoe UI"/>
          <w:bCs/>
          <w:i/>
          <w:iCs/>
          <w:sz w:val="22"/>
          <w:szCs w:val="22"/>
        </w:rPr>
        <w:t xml:space="preserve">La contratación de los servicios de reconstrucción y mantenimiento de bienes muebles. </w:t>
      </w:r>
    </w:p>
    <w:p w14:paraId="55C51BF1" w14:textId="77777777" w:rsidR="0035052A" w:rsidRPr="00681CB2" w:rsidRDefault="0035052A" w:rsidP="0035052A">
      <w:pPr>
        <w:pStyle w:val="paragraph"/>
        <w:numPr>
          <w:ilvl w:val="0"/>
          <w:numId w:val="32"/>
        </w:numPr>
        <w:spacing w:before="0" w:beforeAutospacing="0" w:after="0" w:afterAutospacing="0"/>
        <w:ind w:right="1041"/>
        <w:jc w:val="both"/>
        <w:textAlignment w:val="baseline"/>
        <w:rPr>
          <w:rStyle w:val="normaltextrun"/>
          <w:rFonts w:cs="Segoe UI"/>
          <w:bCs/>
          <w:i/>
          <w:iCs/>
          <w:sz w:val="22"/>
          <w:szCs w:val="22"/>
        </w:rPr>
      </w:pPr>
      <w:r w:rsidRPr="00681CB2">
        <w:rPr>
          <w:rStyle w:val="normaltextrun"/>
          <w:rFonts w:ascii="Palatino Linotype" w:hAnsi="Palatino Linotype" w:cs="Segoe UI"/>
          <w:bCs/>
          <w:i/>
          <w:iCs/>
          <w:sz w:val="22"/>
          <w:szCs w:val="22"/>
        </w:rPr>
        <w:t>La contratación de los servicios de maquila, seguros y transportación, así como de los de limpieza y vigilancia de bienes inmuebles.</w:t>
      </w:r>
    </w:p>
    <w:p w14:paraId="05CDBF33" w14:textId="77777777" w:rsidR="0035052A" w:rsidRPr="00681CB2" w:rsidRDefault="0035052A" w:rsidP="0035052A">
      <w:pPr>
        <w:pStyle w:val="paragraph"/>
        <w:numPr>
          <w:ilvl w:val="0"/>
          <w:numId w:val="32"/>
        </w:numPr>
        <w:spacing w:before="0" w:beforeAutospacing="0" w:after="0" w:afterAutospacing="0"/>
        <w:ind w:right="1041"/>
        <w:jc w:val="both"/>
        <w:textAlignment w:val="baseline"/>
        <w:rPr>
          <w:rStyle w:val="normaltextrun"/>
          <w:rFonts w:cs="Segoe UI"/>
          <w:bCs/>
          <w:i/>
          <w:iCs/>
          <w:sz w:val="22"/>
          <w:szCs w:val="22"/>
        </w:rPr>
      </w:pPr>
      <w:r w:rsidRPr="00681CB2">
        <w:rPr>
          <w:rStyle w:val="normaltextrun"/>
          <w:rFonts w:ascii="Palatino Linotype" w:hAnsi="Palatino Linotype" w:cs="Segoe UI"/>
          <w:bCs/>
          <w:i/>
          <w:iCs/>
          <w:sz w:val="22"/>
          <w:szCs w:val="22"/>
        </w:rPr>
        <w:t xml:space="preserve">La prestación de servicios profesionales, la contratación de consultorías, asesorías y estudios e investigaciones, excepto la contratación de servicios personales de personas físicas bajo el régimen de honorarios. </w:t>
      </w:r>
    </w:p>
    <w:p w14:paraId="412CC86A" w14:textId="77777777" w:rsidR="0035052A" w:rsidRPr="00681CB2" w:rsidRDefault="0035052A" w:rsidP="0035052A">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En general, otros actos que impliquen la contratación de servicios de cualquier naturaleza. </w:t>
      </w:r>
    </w:p>
    <w:p w14:paraId="6E116FE2" w14:textId="77777777" w:rsidR="0035052A" w:rsidRPr="00681CB2" w:rsidRDefault="0035052A" w:rsidP="0035052A">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No aplicarán las disposiciones de la presente Ley a la operación, administración, uso, goce, disposición o cualquier otro acto jurídico sobre bienes muebles o inmuebles que pudieren regularse por esta Ley, si dichos actos derivan de la prestación de servicios bajo la modalidad de proyectos para prestación de servicios; en estos casos, aplicarán las disposiciones del Libro Décimo Sexto del Código Administrativo del Estado de México.</w:t>
      </w:r>
    </w:p>
    <w:p w14:paraId="2DFE2817" w14:textId="77777777" w:rsidR="0035052A" w:rsidRPr="00681CB2" w:rsidRDefault="0035052A" w:rsidP="0035052A">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p>
    <w:p w14:paraId="0A54BEEB" w14:textId="77777777" w:rsidR="0035052A" w:rsidRPr="00681CB2" w:rsidRDefault="0035052A" w:rsidP="0035052A">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u w:val="single"/>
        </w:rPr>
      </w:pPr>
      <w:r w:rsidRPr="00681CB2">
        <w:rPr>
          <w:rStyle w:val="normaltextrun"/>
          <w:rFonts w:ascii="Palatino Linotype" w:hAnsi="Palatino Linotype" w:cs="Segoe UI"/>
          <w:b/>
          <w:bCs/>
          <w:i/>
          <w:iCs/>
          <w:sz w:val="22"/>
          <w:szCs w:val="22"/>
        </w:rPr>
        <w:t>Artículo 26</w:t>
      </w:r>
      <w:r w:rsidRPr="00681CB2">
        <w:rPr>
          <w:rStyle w:val="normaltextrun"/>
          <w:rFonts w:ascii="Palatino Linotype" w:hAnsi="Palatino Linotype" w:cs="Segoe UI"/>
          <w:bCs/>
          <w:i/>
          <w:iCs/>
          <w:sz w:val="22"/>
          <w:szCs w:val="22"/>
        </w:rPr>
        <w:t xml:space="preserve">.- </w:t>
      </w:r>
      <w:r w:rsidRPr="00681CB2">
        <w:rPr>
          <w:rStyle w:val="normaltextrun"/>
          <w:rFonts w:ascii="Palatino Linotype" w:hAnsi="Palatino Linotype" w:cs="Segoe UI"/>
          <w:b/>
          <w:bCs/>
          <w:i/>
          <w:iCs/>
          <w:sz w:val="22"/>
          <w:szCs w:val="22"/>
          <w:u w:val="single"/>
        </w:rPr>
        <w:t xml:space="preserve">Las adquisiciones, arrendamientos y servicios se adjudicarán a través de licitaciones públicas, mediante convocatoria pública. </w:t>
      </w:r>
    </w:p>
    <w:p w14:paraId="702CF890" w14:textId="356A54BA" w:rsidR="0035052A" w:rsidRPr="00681CB2" w:rsidRDefault="0035052A" w:rsidP="0035052A">
      <w:pPr>
        <w:spacing w:before="240" w:after="240" w:line="360" w:lineRule="auto"/>
        <w:jc w:val="both"/>
        <w:rPr>
          <w:rFonts w:ascii="Palatino Linotype" w:hAnsi="Palatino Linotype" w:cs="Arial"/>
        </w:rPr>
      </w:pPr>
      <w:r w:rsidRPr="00681CB2">
        <w:rPr>
          <w:rFonts w:ascii="Palatino Linotype" w:hAnsi="Palatino Linotype" w:cs="Arial"/>
        </w:rPr>
        <w:t>De los preceptos normativos anteriores, se advierte que todas las adquisiciones de bienes muebles e inmuebles serán adjudicadas por licitación pública, en donde por medio de una convocatoria abierta al público se establece</w:t>
      </w:r>
      <w:r w:rsidR="00355170" w:rsidRPr="00681CB2">
        <w:rPr>
          <w:rFonts w:ascii="Palatino Linotype" w:hAnsi="Palatino Linotype" w:cs="Arial"/>
        </w:rPr>
        <w:t>rá</w:t>
      </w:r>
      <w:r w:rsidRPr="00681CB2">
        <w:rPr>
          <w:rFonts w:ascii="Palatino Linotype" w:hAnsi="Palatino Linotype" w:cs="Arial"/>
        </w:rPr>
        <w:t xml:space="preserve">n las bases de la licitación, </w:t>
      </w:r>
      <w:r w:rsidR="00355170" w:rsidRPr="00681CB2">
        <w:rPr>
          <w:rFonts w:ascii="Palatino Linotype" w:hAnsi="Palatino Linotype" w:cs="Arial"/>
        </w:rPr>
        <w:t>misma que</w:t>
      </w:r>
      <w:r w:rsidRPr="00681CB2">
        <w:rPr>
          <w:rFonts w:ascii="Palatino Linotype" w:hAnsi="Palatino Linotype" w:cs="Arial"/>
        </w:rPr>
        <w:t xml:space="preserve"> podrá ser de carácter nacional o</w:t>
      </w:r>
      <w:r w:rsidR="00355170" w:rsidRPr="00681CB2">
        <w:rPr>
          <w:rFonts w:ascii="Palatino Linotype" w:hAnsi="Palatino Linotype" w:cs="Arial"/>
        </w:rPr>
        <w:t xml:space="preserve"> internacional de acuerdo a las </w:t>
      </w:r>
      <w:r w:rsidRPr="00681CB2">
        <w:rPr>
          <w:rFonts w:ascii="Palatino Linotype" w:hAnsi="Palatino Linotype" w:cs="Arial"/>
        </w:rPr>
        <w:t xml:space="preserve">condiciones establecidas por la Ley en mención. </w:t>
      </w:r>
      <w:r w:rsidR="00355170" w:rsidRPr="00681CB2">
        <w:rPr>
          <w:rFonts w:ascii="Palatino Linotype" w:hAnsi="Palatino Linotype" w:cs="Arial"/>
        </w:rPr>
        <w:t>Además</w:t>
      </w:r>
      <w:r w:rsidRPr="00681CB2">
        <w:rPr>
          <w:rFonts w:ascii="Palatino Linotype" w:hAnsi="Palatino Linotype" w:cs="Arial"/>
        </w:rPr>
        <w:t xml:space="preserve">, en el marco normativo se establecen los procedimientos que han de seguir las entidades públicas en caso de que establezcan modalidades distintas a la licitación pública para la adquisición de </w:t>
      </w:r>
      <w:r w:rsidRPr="00681CB2">
        <w:rPr>
          <w:rFonts w:ascii="Palatino Linotype" w:hAnsi="Palatino Linotype" w:cs="Arial"/>
        </w:rPr>
        <w:lastRenderedPageBreak/>
        <w:t>bienes o servicios, tal como se indica en los artículos 27 y 43 de la Ley de Contratación Pública aplicable para el Estado:</w:t>
      </w:r>
    </w:p>
    <w:p w14:paraId="08489930" w14:textId="77777777" w:rsidR="0035052A" w:rsidRPr="00681CB2" w:rsidRDefault="0035052A" w:rsidP="0035052A">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
          <w:bCs/>
          <w:i/>
          <w:iCs/>
          <w:sz w:val="22"/>
          <w:szCs w:val="22"/>
        </w:rPr>
        <w:t xml:space="preserve">Artículo 27.- </w:t>
      </w:r>
      <w:r w:rsidRPr="00681CB2">
        <w:rPr>
          <w:rStyle w:val="normaltextrun"/>
          <w:rFonts w:ascii="Palatino Linotype" w:hAnsi="Palatino Linotype" w:cs="Segoe UI"/>
          <w:bCs/>
          <w:i/>
          <w:iCs/>
          <w:sz w:val="22"/>
          <w:szCs w:val="22"/>
        </w:rPr>
        <w:t xml:space="preserve">La Secretaría, las entidades, los tribunales administrativos y </w:t>
      </w:r>
      <w:r w:rsidRPr="00681CB2">
        <w:rPr>
          <w:rStyle w:val="normaltextrun"/>
          <w:rFonts w:ascii="Palatino Linotype" w:hAnsi="Palatino Linotype" w:cs="Segoe UI"/>
          <w:b/>
          <w:bCs/>
          <w:i/>
          <w:iCs/>
          <w:sz w:val="22"/>
          <w:szCs w:val="22"/>
          <w:u w:val="single"/>
        </w:rPr>
        <w:t>los ayuntamientos podrán adjudicar adquisiciones, arrendamientos y servicios, mediante las excepciones al procedimiento de licitación</w:t>
      </w:r>
      <w:r w:rsidRPr="00681CB2">
        <w:rPr>
          <w:rStyle w:val="normaltextrun"/>
          <w:rFonts w:ascii="Palatino Linotype" w:hAnsi="Palatino Linotype" w:cs="Segoe UI"/>
          <w:bCs/>
          <w:i/>
          <w:iCs/>
          <w:sz w:val="22"/>
          <w:szCs w:val="22"/>
        </w:rPr>
        <w:t xml:space="preserve"> que a continuación se señalan:</w:t>
      </w:r>
    </w:p>
    <w:p w14:paraId="64297710" w14:textId="77777777" w:rsidR="0035052A" w:rsidRPr="00681CB2" w:rsidRDefault="0035052A" w:rsidP="0035052A">
      <w:pPr>
        <w:pStyle w:val="paragraph"/>
        <w:numPr>
          <w:ilvl w:val="0"/>
          <w:numId w:val="33"/>
        </w:numPr>
        <w:spacing w:before="0" w:beforeAutospacing="0" w:after="0" w:afterAutospacing="0"/>
        <w:ind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Invitación restringida. </w:t>
      </w:r>
    </w:p>
    <w:p w14:paraId="25C99C99" w14:textId="77777777" w:rsidR="0035052A" w:rsidRPr="00681CB2" w:rsidRDefault="0035052A" w:rsidP="0035052A">
      <w:pPr>
        <w:pStyle w:val="paragraph"/>
        <w:numPr>
          <w:ilvl w:val="0"/>
          <w:numId w:val="33"/>
        </w:numPr>
        <w:spacing w:before="0" w:beforeAutospacing="0" w:after="0" w:afterAutospacing="0"/>
        <w:ind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Adjudicación directa.</w:t>
      </w:r>
    </w:p>
    <w:p w14:paraId="42894FC1" w14:textId="77777777" w:rsidR="0035052A" w:rsidRPr="00681CB2" w:rsidRDefault="0035052A" w:rsidP="0035052A">
      <w:pPr>
        <w:pStyle w:val="paragraph"/>
        <w:spacing w:before="0" w:beforeAutospacing="0" w:after="0" w:afterAutospacing="0"/>
        <w:ind w:left="1053" w:right="1041"/>
        <w:jc w:val="both"/>
        <w:textAlignment w:val="baseline"/>
        <w:rPr>
          <w:rStyle w:val="normaltextrun"/>
          <w:rFonts w:ascii="Palatino Linotype" w:hAnsi="Palatino Linotype" w:cs="Segoe UI"/>
          <w:b/>
          <w:bCs/>
          <w:i/>
          <w:iCs/>
          <w:sz w:val="22"/>
          <w:szCs w:val="22"/>
          <w:u w:val="single"/>
        </w:rPr>
      </w:pPr>
      <w:r w:rsidRPr="00681CB2">
        <w:rPr>
          <w:rStyle w:val="normaltextrun"/>
          <w:rFonts w:ascii="Palatino Linotype" w:hAnsi="Palatino Linotype" w:cs="Segoe UI"/>
          <w:b/>
          <w:bCs/>
          <w:i/>
          <w:iCs/>
          <w:sz w:val="22"/>
          <w:szCs w:val="22"/>
        </w:rPr>
        <w:t xml:space="preserve">Artículo 43.- </w:t>
      </w:r>
      <w:r w:rsidRPr="00681CB2">
        <w:rPr>
          <w:rStyle w:val="normaltextrun"/>
          <w:rFonts w:ascii="Palatino Linotype" w:hAnsi="Palatino Linotype" w:cs="Segoe UI"/>
          <w:bCs/>
          <w:i/>
          <w:iCs/>
          <w:sz w:val="22"/>
          <w:szCs w:val="22"/>
        </w:rPr>
        <w:t xml:space="preserve">La Secretaría, las entidades, tribunales administrativos y </w:t>
      </w:r>
      <w:r w:rsidRPr="00681CB2">
        <w:rPr>
          <w:rStyle w:val="normaltextrun"/>
          <w:rFonts w:ascii="Palatino Linotype" w:hAnsi="Palatino Linotype" w:cs="Segoe UI"/>
          <w:b/>
          <w:bCs/>
          <w:i/>
          <w:iCs/>
          <w:sz w:val="22"/>
          <w:szCs w:val="22"/>
          <w:u w:val="single"/>
        </w:rPr>
        <w:t>los ayuntamientos, bajo su responsabilidad, podrán llevar a cabo procedimientos de adquisición de bienes o servicios a través de las modalidades de invitación restringida y adjudicación directa.</w:t>
      </w:r>
    </w:p>
    <w:p w14:paraId="28C58578" w14:textId="77777777" w:rsidR="0035052A" w:rsidRPr="00681CB2" w:rsidRDefault="0035052A" w:rsidP="0035052A">
      <w:pPr>
        <w:pStyle w:val="paragraph"/>
        <w:spacing w:before="0" w:beforeAutospacing="0" w:after="0" w:afterAutospacing="0"/>
        <w:ind w:left="1053"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En todo caso, se invitará, o adjudicará de manera directa, a personas que cuenten con capacidad de respuesta inmediata, así como con los recursos técnicos, financieros y demás que sean necesarios, de acuerdo con las características y magnitud de las adquisiciones.</w:t>
      </w:r>
    </w:p>
    <w:p w14:paraId="3C9E04B7" w14:textId="275C9218" w:rsidR="0035052A" w:rsidRPr="00681CB2" w:rsidRDefault="0035052A" w:rsidP="0035052A">
      <w:pPr>
        <w:spacing w:before="240" w:after="240" w:line="360" w:lineRule="auto"/>
        <w:jc w:val="both"/>
        <w:rPr>
          <w:rFonts w:ascii="Palatino Linotype" w:hAnsi="Palatino Linotype" w:cs="Arial"/>
        </w:rPr>
      </w:pPr>
      <w:r w:rsidRPr="00681CB2">
        <w:rPr>
          <w:rFonts w:ascii="Palatino Linotype" w:hAnsi="Palatino Linotype" w:cs="Arial"/>
        </w:rPr>
        <w:t>De la interpretación de los preceptos legales anteriores se puede advertir que la información sobre las adquisiciones o compras que realicen los Ayuntamientos</w:t>
      </w:r>
      <w:r w:rsidR="00355170" w:rsidRPr="00681CB2">
        <w:rPr>
          <w:rFonts w:ascii="Palatino Linotype" w:hAnsi="Palatino Linotype" w:cs="Arial"/>
        </w:rPr>
        <w:t xml:space="preserve"> y sus organismos auxiliares (como lo es el Sujeto Obligado)</w:t>
      </w:r>
      <w:r w:rsidRPr="00681CB2">
        <w:rPr>
          <w:rFonts w:ascii="Palatino Linotype" w:hAnsi="Palatino Linotype" w:cs="Arial"/>
        </w:rPr>
        <w:t xml:space="preserve">, para el cumplimiento de sus funciones, se tienen que efectuar por medio de licitaciones públicas, de invitación restringida o adjudicación directa, </w:t>
      </w:r>
      <w:r w:rsidR="00355170" w:rsidRPr="00681CB2">
        <w:rPr>
          <w:rFonts w:ascii="Palatino Linotype" w:hAnsi="Palatino Linotype" w:cs="Arial"/>
        </w:rPr>
        <w:t xml:space="preserve">mismas que </w:t>
      </w:r>
      <w:r w:rsidRPr="00681CB2">
        <w:rPr>
          <w:rFonts w:ascii="Palatino Linotype" w:hAnsi="Palatino Linotype" w:cs="Arial"/>
        </w:rPr>
        <w:t xml:space="preserve">de acuerdo con el marco normativo en materia de transparencia </w:t>
      </w:r>
      <w:r w:rsidR="00355170" w:rsidRPr="00681CB2">
        <w:rPr>
          <w:rFonts w:ascii="Palatino Linotype" w:hAnsi="Palatino Linotype" w:cs="Arial"/>
        </w:rPr>
        <w:t xml:space="preserve">en el </w:t>
      </w:r>
      <w:r w:rsidRPr="00681CB2">
        <w:rPr>
          <w:rFonts w:ascii="Palatino Linotype" w:hAnsi="Palatino Linotype" w:cs="Arial"/>
        </w:rPr>
        <w:t>Estado de México son información pública de oficio</w:t>
      </w:r>
      <w:r w:rsidR="002B1B82" w:rsidRPr="00681CB2">
        <w:rPr>
          <w:rFonts w:ascii="Palatino Linotype" w:hAnsi="Palatino Linotype" w:cs="Arial"/>
        </w:rPr>
        <w:t xml:space="preserve"> al igual que los contratos o actos jurídicos en los que se haya visto involucrado el Sujeto Obligado</w:t>
      </w:r>
      <w:r w:rsidRPr="00681CB2">
        <w:rPr>
          <w:rFonts w:ascii="Palatino Linotype" w:hAnsi="Palatino Linotype" w:cs="Arial"/>
        </w:rPr>
        <w:t>, como se expone en las líneas siguientes.</w:t>
      </w:r>
    </w:p>
    <w:p w14:paraId="1527BC32" w14:textId="7F907749" w:rsidR="0035052A" w:rsidRPr="00681CB2" w:rsidRDefault="00355170" w:rsidP="0035052A">
      <w:pPr>
        <w:spacing w:before="240" w:after="240" w:line="360" w:lineRule="auto"/>
        <w:jc w:val="both"/>
        <w:rPr>
          <w:rFonts w:ascii="Palatino Linotype" w:hAnsi="Palatino Linotype" w:cs="Arial"/>
        </w:rPr>
      </w:pPr>
      <w:r w:rsidRPr="00681CB2">
        <w:rPr>
          <w:rFonts w:ascii="Palatino Linotype" w:hAnsi="Palatino Linotype" w:cs="Arial"/>
        </w:rPr>
        <w:t>Tal cual fue apuntado por el particular, l</w:t>
      </w:r>
      <w:r w:rsidR="0035052A" w:rsidRPr="00681CB2">
        <w:rPr>
          <w:rFonts w:ascii="Palatino Linotype" w:hAnsi="Palatino Linotype" w:cs="Arial"/>
        </w:rPr>
        <w:t xml:space="preserve">a información solicitada, recae dentro de las obligaciones comunes en materia de transparencia que los Sujetos Obligados deben </w:t>
      </w:r>
      <w:r w:rsidR="0035052A" w:rsidRPr="00681CB2">
        <w:rPr>
          <w:rFonts w:ascii="Palatino Linotype" w:hAnsi="Palatino Linotype" w:cs="Arial"/>
        </w:rPr>
        <w:lastRenderedPageBreak/>
        <w:t>poner a disposición del público en sus respectivos portales de internet,</w:t>
      </w:r>
      <w:r w:rsidR="002B1B82" w:rsidRPr="00681CB2">
        <w:rPr>
          <w:rFonts w:ascii="Palatino Linotype" w:hAnsi="Palatino Linotype" w:cs="Arial"/>
        </w:rPr>
        <w:t xml:space="preserve"> acorde con </w:t>
      </w:r>
      <w:r w:rsidR="0035052A" w:rsidRPr="00681CB2">
        <w:rPr>
          <w:rFonts w:ascii="Palatino Linotype" w:hAnsi="Palatino Linotype" w:cs="Arial"/>
        </w:rPr>
        <w:t>lo señalado en la</w:t>
      </w:r>
      <w:r w:rsidR="00702C4F" w:rsidRPr="00681CB2">
        <w:rPr>
          <w:rFonts w:ascii="Palatino Linotype" w:hAnsi="Palatino Linotype" w:cs="Arial"/>
        </w:rPr>
        <w:t xml:space="preserve"> fracción XXIX del artículo 92 de la</w:t>
      </w:r>
      <w:r w:rsidR="0035052A" w:rsidRPr="00681CB2">
        <w:rPr>
          <w:rFonts w:ascii="Palatino Linotype" w:hAnsi="Palatino Linotype" w:cs="Arial"/>
        </w:rPr>
        <w:t xml:space="preserve"> Ley de Transparencia y Acceso a la Información Pública del Estado de México y Municipios:</w:t>
      </w:r>
    </w:p>
    <w:p w14:paraId="306B8A3B" w14:textId="77777777" w:rsidR="0035052A" w:rsidRPr="00681CB2" w:rsidRDefault="0035052A" w:rsidP="0035052A">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
          <w:bCs/>
          <w:i/>
          <w:iCs/>
          <w:sz w:val="22"/>
          <w:szCs w:val="22"/>
        </w:rPr>
        <w:t>“Artículo 92</w:t>
      </w:r>
      <w:r w:rsidRPr="00681CB2">
        <w:rPr>
          <w:rStyle w:val="normaltextrun"/>
          <w:rFonts w:ascii="Palatino Linotype" w:hAnsi="Palatino Linotype" w:cs="Segoe UI"/>
          <w:bCs/>
          <w:i/>
          <w:iCs/>
          <w:sz w:val="22"/>
          <w:szCs w:val="22"/>
        </w:rPr>
        <w:t xml:space="preserve">. </w:t>
      </w:r>
      <w:r w:rsidRPr="00681CB2">
        <w:rPr>
          <w:rStyle w:val="normaltextrun"/>
          <w:rFonts w:ascii="Palatino Linotype" w:hAnsi="Palatino Linotype" w:cs="Segoe UI"/>
          <w:b/>
          <w:bCs/>
          <w:i/>
          <w:iCs/>
          <w:sz w:val="22"/>
          <w:szCs w:val="22"/>
          <w:u w:val="single"/>
        </w:rPr>
        <w:t>Los sujetos obligados deberán poner a disposición del público de manera permanente y actualizada de forma sencilla, precisa y entendible</w:t>
      </w:r>
      <w:r w:rsidRPr="00681CB2">
        <w:rPr>
          <w:rStyle w:val="normaltextrun"/>
          <w:rFonts w:ascii="Palatino Linotype" w:hAnsi="Palatino Linotype" w:cs="Segoe UI"/>
          <w:bCs/>
          <w:i/>
          <w:iCs/>
          <w:sz w:val="22"/>
          <w:szCs w:val="22"/>
        </w:rPr>
        <w:t>, en los respectivos medios electrónicos, de acuerdo con sus facultades, atribuciones, funciones u objeto social, según corresponda, la información, por lo menos, de los temas, documentos y políticas que a continuación se señalan:</w:t>
      </w:r>
    </w:p>
    <w:p w14:paraId="28A2B886" w14:textId="77777777" w:rsidR="0035052A" w:rsidRPr="00681CB2" w:rsidRDefault="0035052A" w:rsidP="0035052A">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w:t>
      </w:r>
    </w:p>
    <w:p w14:paraId="058DC446" w14:textId="77777777" w:rsidR="0035052A" w:rsidRPr="00681CB2" w:rsidRDefault="0035052A" w:rsidP="0035052A">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
          <w:bCs/>
          <w:i/>
          <w:iCs/>
          <w:sz w:val="22"/>
          <w:szCs w:val="22"/>
        </w:rPr>
        <w:t>XXIX.</w:t>
      </w:r>
      <w:r w:rsidRPr="00681CB2">
        <w:rPr>
          <w:rStyle w:val="normaltextrun"/>
          <w:rFonts w:ascii="Palatino Linotype" w:hAnsi="Palatino Linotype" w:cs="Segoe UI"/>
          <w:bCs/>
          <w:i/>
          <w:iCs/>
          <w:sz w:val="22"/>
          <w:szCs w:val="22"/>
        </w:rPr>
        <w:t xml:space="preserve"> La </w:t>
      </w:r>
      <w:r w:rsidRPr="00681CB2">
        <w:rPr>
          <w:rStyle w:val="normaltextrun"/>
          <w:rFonts w:ascii="Palatino Linotype" w:hAnsi="Palatino Linotype" w:cs="Segoe UI"/>
          <w:b/>
          <w:bCs/>
          <w:i/>
          <w:iCs/>
          <w:sz w:val="22"/>
          <w:szCs w:val="22"/>
          <w:u w:val="single"/>
        </w:rPr>
        <w:t>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r w:rsidRPr="00681CB2">
        <w:rPr>
          <w:rStyle w:val="normaltextrun"/>
          <w:rFonts w:ascii="Palatino Linotype" w:hAnsi="Palatino Linotype" w:cs="Segoe UI"/>
          <w:bCs/>
          <w:i/>
          <w:iCs/>
          <w:sz w:val="22"/>
          <w:szCs w:val="22"/>
        </w:rPr>
        <w:t xml:space="preserve">: </w:t>
      </w:r>
    </w:p>
    <w:p w14:paraId="2AAF71DF" w14:textId="77777777" w:rsidR="0035052A" w:rsidRPr="00681CB2" w:rsidRDefault="0035052A" w:rsidP="0035052A">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
          <w:bCs/>
          <w:i/>
          <w:iCs/>
          <w:sz w:val="22"/>
          <w:szCs w:val="22"/>
          <w:u w:val="single"/>
        </w:rPr>
        <w:t>a) De licitaciones públicas o procedimientos de invitación restringida</w:t>
      </w:r>
      <w:r w:rsidRPr="00681CB2">
        <w:rPr>
          <w:rStyle w:val="normaltextrun"/>
          <w:rFonts w:ascii="Palatino Linotype" w:hAnsi="Palatino Linotype" w:cs="Segoe UI"/>
          <w:bCs/>
          <w:i/>
          <w:iCs/>
          <w:sz w:val="22"/>
          <w:szCs w:val="22"/>
        </w:rPr>
        <w:t>:</w:t>
      </w:r>
    </w:p>
    <w:p w14:paraId="27B03395"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1) La convocatoria o invitación emitida, así como los fundamentos legales aplicados para llevarla a cabo; </w:t>
      </w:r>
    </w:p>
    <w:p w14:paraId="2DB79E1E"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2) Los nombres de los participantes o invitados; </w:t>
      </w:r>
    </w:p>
    <w:p w14:paraId="7839A735"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3) El nombre del ganador y las razones que lo justifican; </w:t>
      </w:r>
    </w:p>
    <w:p w14:paraId="56D092F0"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4) El área solicitante y la responsable de su ejecución; </w:t>
      </w:r>
    </w:p>
    <w:p w14:paraId="1AA1F69A"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5) Las convocatorias e invitaciones emitidas; </w:t>
      </w:r>
    </w:p>
    <w:p w14:paraId="527E3D9F"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6) Los dictámenes y fallo de adjudicación; </w:t>
      </w:r>
    </w:p>
    <w:p w14:paraId="500EE822"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7) El contrato y, en su caso, sus anexos; </w:t>
      </w:r>
    </w:p>
    <w:p w14:paraId="66EC455A"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8) Los mecanismos de vigilancia y supervisión, incluyendo en su caso, los estudios de impacto urbano y ambiental, según corresponda; </w:t>
      </w:r>
    </w:p>
    <w:p w14:paraId="112D8835"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9) La partida presupuestal, de conformidad con el clasificador por objeto del gasto, en el caso de ser aplicable; </w:t>
      </w:r>
    </w:p>
    <w:p w14:paraId="1ACF0C0F"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10) Origen de los recursos especificando si son federales, estatales o municipales, así como el tipo de fondo de participación o aportación respectiva; </w:t>
      </w:r>
    </w:p>
    <w:p w14:paraId="140E54C6"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11) Los convenios modificatorios que, en su caso, sean firmados, precisando el objeto y la fecha de celebración; </w:t>
      </w:r>
    </w:p>
    <w:p w14:paraId="04D6E1B0"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lastRenderedPageBreak/>
        <w:t xml:space="preserve">12) Los informes de avance físico y financiero sobre las obras o servicios contratados; </w:t>
      </w:r>
    </w:p>
    <w:p w14:paraId="429CC16E"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13) El convenio de terminación; y </w:t>
      </w:r>
    </w:p>
    <w:p w14:paraId="12B55E0C"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14) El finiquito. </w:t>
      </w:r>
    </w:p>
    <w:p w14:paraId="52E5B7F8" w14:textId="77777777" w:rsidR="0035052A" w:rsidRPr="00681CB2" w:rsidRDefault="0035052A" w:rsidP="0035052A">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u w:val="single"/>
        </w:rPr>
      </w:pPr>
      <w:r w:rsidRPr="00681CB2">
        <w:rPr>
          <w:rStyle w:val="normaltextrun"/>
          <w:rFonts w:ascii="Palatino Linotype" w:hAnsi="Palatino Linotype" w:cs="Segoe UI"/>
          <w:b/>
          <w:bCs/>
          <w:i/>
          <w:iCs/>
          <w:sz w:val="22"/>
          <w:szCs w:val="22"/>
          <w:u w:val="single"/>
        </w:rPr>
        <w:t xml:space="preserve">b) De las adjudicaciones directas: </w:t>
      </w:r>
    </w:p>
    <w:p w14:paraId="51CF751E"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1) La propuesta enviada por el participante; </w:t>
      </w:r>
    </w:p>
    <w:p w14:paraId="1ECCD971"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2) Los motivos y fundamentos legales aplicados para llevarla a cabo; </w:t>
      </w:r>
    </w:p>
    <w:p w14:paraId="33BE79DA"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3) La autorización del ejercicio de la opción; </w:t>
      </w:r>
    </w:p>
    <w:p w14:paraId="2D5563B5"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4) En su caso, las cotizaciones consideradas, especificando los nombres de los proveedores y sus montos; </w:t>
      </w:r>
    </w:p>
    <w:p w14:paraId="3FDEE37B"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5) El nombre de la persona física o jurídica colectiva adjudicada; </w:t>
      </w:r>
    </w:p>
    <w:p w14:paraId="64C9BF85"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6) La unidad administrativa solicitante y la responsable de su ejecución; </w:t>
      </w:r>
    </w:p>
    <w:p w14:paraId="2AC5495A"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7) El número, fecha, el monto del contrato y el plazo de entrega o de ejecución de los servicios u obra; </w:t>
      </w:r>
    </w:p>
    <w:p w14:paraId="6D9BDB15"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8) Los mecanismos de vigilancia y supervisión, incluyendo, en su caso, los estudios de impacto urbano y ambiental, según corresponda; </w:t>
      </w:r>
    </w:p>
    <w:p w14:paraId="0F30A938"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9) Los informes de avance sobre las obras o servicios contratados;</w:t>
      </w:r>
    </w:p>
    <w:p w14:paraId="58D89518"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10) El convenio de terminación; y </w:t>
      </w:r>
    </w:p>
    <w:p w14:paraId="07DCAC10" w14:textId="77777777" w:rsidR="0035052A" w:rsidRPr="00681CB2" w:rsidRDefault="0035052A" w:rsidP="0035052A">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11) El finiquito.</w:t>
      </w:r>
    </w:p>
    <w:p w14:paraId="59CF9D03" w14:textId="6C5CE74F" w:rsidR="0048617A" w:rsidRPr="00681CB2" w:rsidRDefault="0048617A">
      <w:pPr>
        <w:rPr>
          <w:rFonts w:ascii="Palatino Linotype" w:hAnsi="Palatino Linotype" w:cs="Arial"/>
          <w:lang w:val="es-MX" w:eastAsia="es-MX"/>
        </w:rPr>
      </w:pPr>
    </w:p>
    <w:p w14:paraId="0CC76C56" w14:textId="700DAE00" w:rsidR="0048617A" w:rsidRPr="00681CB2" w:rsidRDefault="002B1B82" w:rsidP="002B1B82">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681CB2">
        <w:rPr>
          <w:rStyle w:val="normaltextrun"/>
          <w:rFonts w:ascii="Palatino Linotype" w:hAnsi="Palatino Linotype" w:cs="Segoe UI"/>
          <w:b/>
          <w:bCs/>
          <w:i/>
          <w:iCs/>
          <w:sz w:val="22"/>
          <w:szCs w:val="22"/>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4AE65482" w14:textId="77777777" w:rsidR="002B1B82" w:rsidRPr="00681CB2" w:rsidRDefault="002B1B82" w:rsidP="002B1B82">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681CB2">
        <w:rPr>
          <w:rStyle w:val="normaltextrun"/>
          <w:rFonts w:ascii="Palatino Linotype" w:hAnsi="Palatino Linotype" w:cs="Segoe UI"/>
          <w:b/>
          <w:bCs/>
          <w:i/>
          <w:iCs/>
          <w:sz w:val="22"/>
          <w:szCs w:val="22"/>
        </w:rPr>
        <w:t>…”</w:t>
      </w:r>
    </w:p>
    <w:p w14:paraId="21335F93" w14:textId="0F092A0A" w:rsidR="002B1B82" w:rsidRPr="00681CB2" w:rsidRDefault="002B1B82" w:rsidP="002B1B82">
      <w:pPr>
        <w:spacing w:before="240" w:after="240" w:line="360" w:lineRule="auto"/>
        <w:jc w:val="both"/>
        <w:rPr>
          <w:rFonts w:ascii="Palatino Linotype" w:hAnsi="Palatino Linotype" w:cs="Arial"/>
        </w:rPr>
      </w:pPr>
      <w:r w:rsidRPr="00681CB2">
        <w:rPr>
          <w:rFonts w:ascii="Palatino Linotype" w:hAnsi="Palatino Linotype" w:cs="Arial"/>
        </w:rPr>
        <w:t>De una interpretación de los elementos jurídicos señalados con antelación, se advierte que entre las unidades administrativas del Sujeto Obligado existen áreas competentes en las que pudiera obrar la información relativa a todos los proveedores, comercializadoras y contratistas con las que se ha suscrito algún instrumento jurídico, ya que como resultado de lo</w:t>
      </w:r>
      <w:r w:rsidR="00A13200" w:rsidRPr="00681CB2">
        <w:rPr>
          <w:rFonts w:ascii="Palatino Linotype" w:hAnsi="Palatino Linotype" w:cs="Arial"/>
        </w:rPr>
        <w:t>s procedimientos de licitación,</w:t>
      </w:r>
      <w:r w:rsidRPr="00681CB2">
        <w:rPr>
          <w:rFonts w:ascii="Palatino Linotype" w:hAnsi="Palatino Linotype" w:cs="Arial"/>
        </w:rPr>
        <w:t xml:space="preserve"> </w:t>
      </w:r>
      <w:r w:rsidRPr="00681CB2">
        <w:rPr>
          <w:rFonts w:ascii="Palatino Linotype" w:hAnsi="Palatino Linotype" w:cs="Arial"/>
        </w:rPr>
        <w:lastRenderedPageBreak/>
        <w:t>adjudicación</w:t>
      </w:r>
      <w:r w:rsidR="00A13200" w:rsidRPr="00681CB2">
        <w:rPr>
          <w:rFonts w:ascii="Palatino Linotype" w:hAnsi="Palatino Linotype" w:cs="Arial"/>
        </w:rPr>
        <w:t xml:space="preserve"> o invitación restringida,</w:t>
      </w:r>
      <w:r w:rsidRPr="00681CB2">
        <w:rPr>
          <w:rFonts w:ascii="Palatino Linotype" w:hAnsi="Palatino Linotype" w:cs="Arial"/>
        </w:rPr>
        <w:t xml:space="preserve"> se obtiene un contrato con la dependencia que organiza, bajo las condiciones señaladas en el procedimiento, por ende se </w:t>
      </w:r>
      <w:r w:rsidR="00235C19" w:rsidRPr="00681CB2">
        <w:rPr>
          <w:rFonts w:ascii="Palatino Linotype" w:hAnsi="Palatino Linotype" w:cs="Arial"/>
        </w:rPr>
        <w:t xml:space="preserve">estima procedente ordenar la entrega del o los documentos en donde consten los proveedores, comercializadoras y contratistas con los que se haya suscrito algún instrumento </w:t>
      </w:r>
      <w:r w:rsidR="00F35CAD" w:rsidRPr="00681CB2">
        <w:rPr>
          <w:rFonts w:ascii="Palatino Linotype" w:hAnsi="Palatino Linotype" w:cs="Arial"/>
        </w:rPr>
        <w:t>jurídico</w:t>
      </w:r>
      <w:r w:rsidR="00235C19" w:rsidRPr="00681CB2">
        <w:rPr>
          <w:rFonts w:ascii="Palatino Linotype" w:hAnsi="Palatino Linotype" w:cs="Arial"/>
        </w:rPr>
        <w:t xml:space="preserve"> por la </w:t>
      </w:r>
      <w:r w:rsidR="00F35CAD" w:rsidRPr="00681CB2">
        <w:rPr>
          <w:rFonts w:ascii="Palatino Linotype" w:hAnsi="Palatino Linotype" w:cs="Arial"/>
        </w:rPr>
        <w:t>adquisición</w:t>
      </w:r>
      <w:r w:rsidR="00235C19" w:rsidRPr="00681CB2">
        <w:rPr>
          <w:rFonts w:ascii="Palatino Linotype" w:hAnsi="Palatino Linotype" w:cs="Arial"/>
        </w:rPr>
        <w:t xml:space="preserve"> de bienes o servicios del Sujeto Obligado.</w:t>
      </w:r>
    </w:p>
    <w:p w14:paraId="041D7E65" w14:textId="39D8300C" w:rsidR="004D6922" w:rsidRPr="00681CB2" w:rsidRDefault="00CB2633" w:rsidP="002B1B82">
      <w:pPr>
        <w:spacing w:before="240" w:after="240" w:line="360" w:lineRule="auto"/>
        <w:jc w:val="both"/>
        <w:rPr>
          <w:rFonts w:ascii="Palatino Linotype" w:hAnsi="Palatino Linotype" w:cs="Arial"/>
        </w:rPr>
      </w:pPr>
      <w:r w:rsidRPr="00681CB2">
        <w:rPr>
          <w:rFonts w:ascii="Palatino Linotype" w:hAnsi="Palatino Linotype" w:cs="Arial"/>
        </w:rPr>
        <w:t xml:space="preserve">Ahora bien, por cuanto hace a la temporalidad de la información requerida, es de resaltar que la misma Ley de Contratación Pública del Estado de México y Municipios refiere </w:t>
      </w:r>
      <w:r w:rsidR="00557D19" w:rsidRPr="00681CB2">
        <w:rPr>
          <w:rFonts w:ascii="Palatino Linotype" w:hAnsi="Palatino Linotype" w:cs="Arial"/>
        </w:rPr>
        <w:t>en su artículo 84 que la documentación comprobatoria de los actos, procedimientos y contratos regulados en esa Ley deberán conservarse por lo menos cinco años después de su celebración, como se indica a continuación:</w:t>
      </w:r>
    </w:p>
    <w:p w14:paraId="7FA36149" w14:textId="0ACBE3AE" w:rsidR="00557D19" w:rsidRPr="00681CB2" w:rsidRDefault="00557D19" w:rsidP="00557D19">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
          <w:bCs/>
          <w:i/>
          <w:iCs/>
          <w:sz w:val="22"/>
          <w:szCs w:val="22"/>
        </w:rPr>
        <w:t>Artículo 84.-</w:t>
      </w:r>
      <w:r w:rsidRPr="00681CB2">
        <w:rPr>
          <w:rStyle w:val="normaltextrun"/>
          <w:rFonts w:ascii="Palatino Linotype" w:hAnsi="Palatino Linotype" w:cs="Segoe UI"/>
          <w:bCs/>
          <w:i/>
          <w:iCs/>
          <w:sz w:val="22"/>
          <w:szCs w:val="22"/>
        </w:rPr>
        <w:t xml:space="preserve"> La Secretaría, las dependencias, las entidades, los tribunales administrativos y los </w:t>
      </w:r>
      <w:r w:rsidRPr="00681CB2">
        <w:rPr>
          <w:rStyle w:val="normaltextrun"/>
          <w:rFonts w:ascii="Palatino Linotype" w:hAnsi="Palatino Linotype" w:cs="Segoe UI"/>
          <w:b/>
          <w:bCs/>
          <w:i/>
          <w:iCs/>
          <w:sz w:val="22"/>
          <w:szCs w:val="22"/>
        </w:rPr>
        <w:t>ayuntamientos conservarán en sus archivos, en forma ordenada, la documentación comprobatoria de los actos, procedimientos y contratos materia de esta Ley, cuando menos por el lapso de cinco años, contado a partir de la fecha de su celebración.</w:t>
      </w:r>
    </w:p>
    <w:p w14:paraId="4AEA2F9A" w14:textId="1EF3F931" w:rsidR="00557D19" w:rsidRPr="00681CB2" w:rsidRDefault="00557D19" w:rsidP="00557D19">
      <w:pPr>
        <w:pStyle w:val="paragraph"/>
        <w:spacing w:before="0" w:beforeAutospacing="0" w:after="0" w:afterAutospacing="0"/>
        <w:ind w:left="993" w:right="1041"/>
        <w:jc w:val="both"/>
        <w:textAlignment w:val="baseline"/>
        <w:rPr>
          <w:rStyle w:val="normaltextrun"/>
          <w:rFonts w:cs="Segoe UI"/>
          <w:bCs/>
          <w:i/>
          <w:iCs/>
          <w:sz w:val="22"/>
          <w:szCs w:val="22"/>
        </w:rPr>
      </w:pPr>
      <w:r w:rsidRPr="00681CB2">
        <w:rPr>
          <w:rStyle w:val="normaltextrun"/>
          <w:rFonts w:ascii="Palatino Linotype" w:hAnsi="Palatino Linotype" w:cs="Segoe UI"/>
          <w:bCs/>
          <w:i/>
          <w:iCs/>
          <w:sz w:val="22"/>
          <w:szCs w:val="22"/>
        </w:rPr>
        <w:t xml:space="preserve">La información </w:t>
      </w:r>
      <w:r w:rsidRPr="00681CB2">
        <w:rPr>
          <w:rStyle w:val="normaltextrun"/>
          <w:rFonts w:ascii="Palatino Linotype" w:hAnsi="Palatino Linotype" w:cs="Segoe UI"/>
          <w:b/>
          <w:bCs/>
          <w:i/>
          <w:iCs/>
          <w:sz w:val="22"/>
          <w:szCs w:val="22"/>
        </w:rPr>
        <w:t>a que se refiere el párrafo anterior, en su caso, podrá conservarse en los términos previstos por la Ley de Medios Electrónicos</w:t>
      </w:r>
      <w:r w:rsidRPr="00681CB2">
        <w:rPr>
          <w:rStyle w:val="normaltextrun"/>
          <w:rFonts w:ascii="Palatino Linotype" w:hAnsi="Palatino Linotype" w:cs="Segoe UI"/>
          <w:bCs/>
          <w:i/>
          <w:iCs/>
          <w:sz w:val="22"/>
          <w:szCs w:val="22"/>
        </w:rPr>
        <w:t>.</w:t>
      </w:r>
    </w:p>
    <w:p w14:paraId="70A9F52F" w14:textId="3DBFCDBE" w:rsidR="00557D19" w:rsidRPr="00681CB2" w:rsidRDefault="00E40319" w:rsidP="002B1B82">
      <w:pPr>
        <w:spacing w:before="240" w:after="240" w:line="360" w:lineRule="auto"/>
        <w:jc w:val="both"/>
        <w:rPr>
          <w:rFonts w:ascii="Palatino Linotype" w:hAnsi="Palatino Linotype" w:cs="Arial"/>
        </w:rPr>
      </w:pPr>
      <w:r w:rsidRPr="00681CB2">
        <w:rPr>
          <w:rFonts w:ascii="Palatino Linotype" w:hAnsi="Palatino Linotype" w:cs="Arial"/>
        </w:rPr>
        <w:t xml:space="preserve">Por ende, se advierte que por lo menos la información deberá obrar en los archivos del sujeto obligado a partir del </w:t>
      </w:r>
      <w:r w:rsidR="00746BE1" w:rsidRPr="00681CB2">
        <w:rPr>
          <w:rFonts w:ascii="Palatino Linotype" w:hAnsi="Palatino Linotype" w:cs="Arial"/>
        </w:rPr>
        <w:t>treinta de agosto del ejercicio fiscal 2013</w:t>
      </w:r>
      <w:r w:rsidRPr="00681CB2">
        <w:rPr>
          <w:rFonts w:ascii="Palatino Linotype" w:hAnsi="Palatino Linotype" w:cs="Arial"/>
        </w:rPr>
        <w:t>, sin embargo, al no existir una limitante dentro</w:t>
      </w:r>
      <w:r w:rsidR="00746BE1" w:rsidRPr="00681CB2">
        <w:rPr>
          <w:rFonts w:ascii="Palatino Linotype" w:hAnsi="Palatino Linotype" w:cs="Arial"/>
        </w:rPr>
        <w:t xml:space="preserve"> de la Ley por la que se tenga</w:t>
      </w:r>
      <w:r w:rsidRPr="00681CB2">
        <w:rPr>
          <w:rFonts w:ascii="Palatino Linotype" w:hAnsi="Palatino Linotype" w:cs="Arial"/>
        </w:rPr>
        <w:t xml:space="preserve"> prohibido el resguardo de años anteriores al dos mil catorce, resulta dable ordenar la información por el periodo correspondiente a los ejercicios fiscales 2012, 2013</w:t>
      </w:r>
      <w:r w:rsidR="00603AD5" w:rsidRPr="00681CB2">
        <w:rPr>
          <w:rFonts w:ascii="Palatino Linotype" w:hAnsi="Palatino Linotype" w:cs="Arial"/>
        </w:rPr>
        <w:t>, 2014, 2015, 2016, 2017</w:t>
      </w:r>
      <w:r w:rsidRPr="00681CB2">
        <w:rPr>
          <w:rFonts w:ascii="Palatino Linotype" w:hAnsi="Palatino Linotype" w:cs="Arial"/>
        </w:rPr>
        <w:t xml:space="preserve"> y hasta el treinta de agosto del año 2018</w:t>
      </w:r>
      <w:r w:rsidR="00603AD5" w:rsidRPr="00681CB2">
        <w:rPr>
          <w:rFonts w:ascii="Palatino Linotype" w:hAnsi="Palatino Linotype" w:cs="Arial"/>
        </w:rPr>
        <w:t xml:space="preserve">, fecha en que fue </w:t>
      </w:r>
      <w:r w:rsidR="00227134" w:rsidRPr="00681CB2">
        <w:rPr>
          <w:rFonts w:ascii="Palatino Linotype" w:hAnsi="Palatino Linotype" w:cs="Arial"/>
        </w:rPr>
        <w:t>registrada</w:t>
      </w:r>
      <w:r w:rsidR="00603AD5" w:rsidRPr="00681CB2">
        <w:rPr>
          <w:rFonts w:ascii="Palatino Linotype" w:hAnsi="Palatino Linotype" w:cs="Arial"/>
        </w:rPr>
        <w:t xml:space="preserve"> la solicitud de </w:t>
      </w:r>
      <w:r w:rsidR="00603AD5" w:rsidRPr="00681CB2">
        <w:rPr>
          <w:rFonts w:ascii="Palatino Linotype" w:hAnsi="Palatino Linotype" w:cs="Arial"/>
        </w:rPr>
        <w:lastRenderedPageBreak/>
        <w:t>información</w:t>
      </w:r>
      <w:r w:rsidR="005B7536" w:rsidRPr="00681CB2">
        <w:rPr>
          <w:rFonts w:ascii="Palatino Linotype" w:hAnsi="Palatino Linotype" w:cs="Arial"/>
        </w:rPr>
        <w:t xml:space="preserve"> y de ser el caso en que la relativa a los ejercicios fiscales 2012 y 2013 no obre en sus archivos </w:t>
      </w:r>
      <w:r w:rsidR="005C05D2" w:rsidRPr="00681CB2">
        <w:rPr>
          <w:rFonts w:ascii="Palatino Linotype" w:hAnsi="Palatino Linotype" w:cs="Arial"/>
        </w:rPr>
        <w:t>deberá emitir el acuerdo de inexistencia debidamente fundado y motivado</w:t>
      </w:r>
      <w:r w:rsidR="005B7536" w:rsidRPr="00681CB2">
        <w:rPr>
          <w:rFonts w:ascii="Palatino Linotype" w:hAnsi="Palatino Linotype" w:cs="Arial"/>
        </w:rPr>
        <w:t>.</w:t>
      </w:r>
    </w:p>
    <w:p w14:paraId="2A603468" w14:textId="7836F634" w:rsidR="000B65CF" w:rsidRPr="00681CB2" w:rsidRDefault="000B65CF" w:rsidP="000B65CF">
      <w:pPr>
        <w:spacing w:before="240" w:after="240" w:line="360" w:lineRule="auto"/>
        <w:jc w:val="both"/>
        <w:rPr>
          <w:rFonts w:ascii="Palatino Linotype" w:eastAsia="Calibri" w:hAnsi="Palatino Linotype"/>
          <w:color w:val="000000"/>
        </w:rPr>
      </w:pPr>
      <w:r w:rsidRPr="00681CB2">
        <w:rPr>
          <w:rFonts w:ascii="Palatino Linotype" w:hAnsi="Palatino Linotype" w:cs="Arial"/>
        </w:rPr>
        <w:t xml:space="preserve">Lo anterior se estima así con base en </w:t>
      </w:r>
      <w:r w:rsidRPr="00681CB2">
        <w:rPr>
          <w:rFonts w:ascii="Palatino Linotype" w:hAnsi="Palatino Linotype" w:cs="Arial"/>
          <w:color w:val="222222"/>
          <w:lang w:eastAsia="es-MX"/>
        </w:rPr>
        <w:t>la Ley de Documentos Administrativos e Históricos del Estado de México, la cual refiere en el artículo 8, que los documentos de contenido administrativo de importancia, serán conservados por 20 años y si el documento se vincula con las funciones de dos o más sujetos públicos</w:t>
      </w:r>
      <w:r w:rsidRPr="00681CB2">
        <w:rPr>
          <w:rFonts w:ascii="Palatino Linotype" w:hAnsi="Palatino Linotype" w:cs="Arial"/>
          <w:b/>
          <w:color w:val="222222"/>
          <w:lang w:eastAsia="es-MX"/>
        </w:rPr>
        <w:t>,</w:t>
      </w:r>
      <w:r w:rsidRPr="00681CB2">
        <w:rPr>
          <w:rFonts w:ascii="Palatino Linotype" w:hAnsi="Palatino Linotype" w:cs="Arial"/>
          <w:color w:val="222222"/>
          <w:lang w:eastAsia="es-MX"/>
        </w:rPr>
        <w:t xml:space="preserve"> deberá transmitirse la información correspondiente, para el efecto, del proceso o vaciado en otros documentos, refiriendo expresamente que ningún documento podrá ser destruido, a menos, que, por escrito, lo determine la instancia facultada para ese efecto, en términos de esa misma Ley</w:t>
      </w:r>
      <w:r w:rsidRPr="00681CB2">
        <w:rPr>
          <w:rFonts w:ascii="Palatino Linotype" w:eastAsia="Calibri" w:hAnsi="Palatino Linotype" w:cs="Arial"/>
        </w:rPr>
        <w:t>, artículo que se transcribe a continuación:</w:t>
      </w:r>
    </w:p>
    <w:p w14:paraId="47C74ADA" w14:textId="77777777" w:rsidR="000B65CF" w:rsidRPr="00681CB2" w:rsidRDefault="000B65CF" w:rsidP="000B65CF">
      <w:pPr>
        <w:spacing w:before="240" w:after="360"/>
        <w:ind w:left="851" w:right="900"/>
        <w:jc w:val="both"/>
        <w:rPr>
          <w:rFonts w:ascii="Palatino Linotype" w:eastAsia="Calibri" w:hAnsi="Palatino Linotype" w:cs="Arial"/>
          <w:i/>
          <w:sz w:val="22"/>
          <w:szCs w:val="20"/>
          <w:lang w:eastAsia="en-US"/>
        </w:rPr>
      </w:pPr>
      <w:r w:rsidRPr="00681CB2">
        <w:rPr>
          <w:rFonts w:ascii="Palatino Linotype" w:eastAsia="Calibri" w:hAnsi="Palatino Linotype" w:cs="Arial"/>
          <w:i/>
          <w:sz w:val="22"/>
          <w:szCs w:val="20"/>
          <w:lang w:val="es-MX" w:eastAsia="en-US"/>
        </w:rPr>
        <w:t>“</w:t>
      </w:r>
      <w:r w:rsidRPr="00681CB2">
        <w:rPr>
          <w:rFonts w:ascii="Palatino Linotype" w:eastAsia="Calibri" w:hAnsi="Palatino Linotype" w:cs="Arial"/>
          <w:b/>
          <w:i/>
          <w:sz w:val="22"/>
          <w:szCs w:val="20"/>
          <w:lang w:eastAsia="en-US"/>
        </w:rPr>
        <w:t>Artículo 8.-</w:t>
      </w:r>
      <w:r w:rsidRPr="00681CB2">
        <w:rPr>
          <w:rFonts w:ascii="Palatino Linotype" w:eastAsia="Calibri" w:hAnsi="Palatino Linotype" w:cs="Arial"/>
          <w:i/>
          <w:sz w:val="22"/>
          <w:szCs w:val="20"/>
          <w:lang w:eastAsia="en-US"/>
        </w:rPr>
        <w:t xml:space="preserve"> Los documentos de contenido administrativo de importancia, serán conservados por 20 años, y si el documento se vincula con las funciones de 2 </w:t>
      </w:r>
      <w:proofErr w:type="spellStart"/>
      <w:r w:rsidRPr="00681CB2">
        <w:rPr>
          <w:rFonts w:ascii="Palatino Linotype" w:eastAsia="Calibri" w:hAnsi="Palatino Linotype" w:cs="Arial"/>
          <w:i/>
          <w:sz w:val="22"/>
          <w:szCs w:val="20"/>
          <w:lang w:eastAsia="en-US"/>
        </w:rPr>
        <w:t>ó</w:t>
      </w:r>
      <w:proofErr w:type="spellEnd"/>
      <w:r w:rsidRPr="00681CB2">
        <w:rPr>
          <w:rFonts w:ascii="Palatino Linotype" w:eastAsia="Calibri" w:hAnsi="Palatino Linotype" w:cs="Arial"/>
          <w:i/>
          <w:sz w:val="22"/>
          <w:szCs w:val="20"/>
          <w:lang w:eastAsia="en-US"/>
        </w:rPr>
        <w:t xml:space="preserve"> más sujetos públicos, deberá transmitirse la información correspondiente, para el efecto, del proceso o vaciado en otros documentos. </w:t>
      </w:r>
    </w:p>
    <w:p w14:paraId="438F7B91" w14:textId="77777777" w:rsidR="000B65CF" w:rsidRPr="00681CB2" w:rsidRDefault="000B65CF" w:rsidP="000B65CF">
      <w:pPr>
        <w:spacing w:before="240" w:after="240"/>
        <w:ind w:left="851" w:right="900"/>
        <w:jc w:val="both"/>
        <w:rPr>
          <w:rFonts w:ascii="Palatino Linotype" w:hAnsi="Palatino Linotype" w:cs="Arial"/>
        </w:rPr>
      </w:pPr>
      <w:r w:rsidRPr="00681CB2">
        <w:rPr>
          <w:rFonts w:ascii="Palatino Linotype" w:eastAsia="Calibri" w:hAnsi="Palatino Linotype" w:cs="Arial"/>
          <w:i/>
          <w:sz w:val="22"/>
          <w:szCs w:val="20"/>
          <w:lang w:eastAsia="en-US"/>
        </w:rPr>
        <w:t>Ningún documento podrá ser destruido, a menos, que, por escrito, lo determine la instancia facultada para ese efecto, en términos de la presente Ley” (Sic)</w:t>
      </w:r>
      <w:r w:rsidRPr="00681CB2">
        <w:rPr>
          <w:rFonts w:ascii="Palatino Linotype" w:hAnsi="Palatino Linotype" w:cs="Arial"/>
        </w:rPr>
        <w:t xml:space="preserve">  </w:t>
      </w:r>
    </w:p>
    <w:p w14:paraId="72843281" w14:textId="77777777" w:rsidR="000B65CF" w:rsidRPr="00681CB2" w:rsidRDefault="000B65CF" w:rsidP="000B65CF">
      <w:pPr>
        <w:spacing w:before="240" w:after="240" w:line="360" w:lineRule="auto"/>
        <w:ind w:right="49"/>
        <w:jc w:val="both"/>
        <w:rPr>
          <w:rFonts w:ascii="Palatino Linotype" w:hAnsi="Palatino Linotype" w:cs="Arial"/>
        </w:rPr>
      </w:pPr>
      <w:r w:rsidRPr="00681CB2">
        <w:rPr>
          <w:rFonts w:ascii="Palatino Linotype" w:hAnsi="Palatino Linotype" w:cs="Arial"/>
          <w:color w:val="000000"/>
        </w:rPr>
        <w:t xml:space="preserve">Aunado a ello el artículo 36 de los </w:t>
      </w:r>
      <w:r w:rsidRPr="00681CB2">
        <w:rPr>
          <w:rFonts w:ascii="Palatino Linotype" w:hAnsi="Palatino Linotype" w:cs="Arial"/>
          <w:i/>
          <w:color w:val="000000"/>
        </w:rPr>
        <w:t>Lineamientos para la administración de Documentos en el Estado de México</w:t>
      </w:r>
      <w:r w:rsidRPr="00681CB2">
        <w:rPr>
          <w:rFonts w:ascii="Palatino Linotype" w:hAnsi="Palatino Linotype" w:cs="Arial"/>
          <w:color w:val="000000"/>
        </w:rPr>
        <w:t xml:space="preserve"> establecen que</w:t>
      </w:r>
      <w:r w:rsidRPr="00681CB2">
        <w:rPr>
          <w:rFonts w:ascii="Palatino Linotype" w:hAnsi="Palatino Linotype" w:cs="Arial"/>
          <w:i/>
          <w:color w:val="000000"/>
        </w:rPr>
        <w:t xml:space="preserve"> </w:t>
      </w:r>
      <w:r w:rsidRPr="00681CB2">
        <w:rPr>
          <w:rFonts w:ascii="Palatino Linotype" w:hAnsi="Palatino Linotype" w:cs="Arial"/>
          <w:color w:val="000000"/>
        </w:rPr>
        <w:t xml:space="preserve">los </w:t>
      </w:r>
      <w:r w:rsidRPr="00681CB2">
        <w:rPr>
          <w:rFonts w:ascii="Palatino Linotype" w:eastAsia="MS Mincho" w:hAnsi="Palatino Linotype"/>
          <w:color w:val="000000"/>
        </w:rPr>
        <w:t xml:space="preserve">Sujetos Obligados serán responsables de </w:t>
      </w:r>
      <w:r w:rsidRPr="00681CB2">
        <w:rPr>
          <w:rFonts w:ascii="Palatino Linotype" w:eastAsia="MS Mincho" w:hAnsi="Palatino Linotype"/>
          <w:i/>
          <w:color w:val="000000"/>
        </w:rPr>
        <w:t>crear, organizar, preservar y controlar sus archivos</w:t>
      </w:r>
      <w:r w:rsidRPr="00681CB2">
        <w:rPr>
          <w:rFonts w:ascii="Palatino Linotype" w:eastAsia="MS Mincho" w:hAnsi="Palatino Linotype"/>
          <w:color w:val="000000"/>
        </w:rPr>
        <w:t xml:space="preserve">, conforme al ciclo de vida de los documentos y los principios de procedencia y de orden original, así como la normatividad jurídica, administrativa y técnica en materia archivística vigente, y </w:t>
      </w:r>
      <w:r w:rsidRPr="00681CB2">
        <w:rPr>
          <w:rFonts w:ascii="Palatino Linotype" w:eastAsia="MS Mincho" w:hAnsi="Palatino Linotype"/>
          <w:color w:val="000000"/>
        </w:rPr>
        <w:lastRenderedPageBreak/>
        <w:t>garantizarán que sus archivos de trámite, concentración e históricos se mantengan organizados y disponibles para permitir y facilitar un acceso expedito a la documentación que resguarden.</w:t>
      </w:r>
    </w:p>
    <w:p w14:paraId="54926DFB" w14:textId="77777777" w:rsidR="000B65CF" w:rsidRPr="00681CB2" w:rsidRDefault="000B65CF" w:rsidP="000B65CF">
      <w:pPr>
        <w:spacing w:before="240" w:after="240" w:line="360" w:lineRule="auto"/>
        <w:jc w:val="both"/>
        <w:rPr>
          <w:rFonts w:ascii="Palatino Linotype" w:eastAsia="MS Mincho" w:hAnsi="Palatino Linotype"/>
        </w:rPr>
      </w:pPr>
      <w:r w:rsidRPr="00681CB2">
        <w:rPr>
          <w:rFonts w:ascii="Palatino Linotype" w:eastAsia="MS Mincho" w:hAnsi="Palatino Linotype"/>
        </w:rPr>
        <w:t xml:space="preserve">Para tal efecto, es de suma importancia destacar que de acuerdo a los artículos 61, 63, 64, 68 y 74 de los </w:t>
      </w:r>
      <w:r w:rsidRPr="00681CB2">
        <w:rPr>
          <w:rFonts w:ascii="Palatino Linotype" w:hAnsi="Palatino Linotype" w:cs="Arial"/>
          <w:color w:val="000000"/>
        </w:rPr>
        <w:t xml:space="preserve">Lineamientos antes </w:t>
      </w:r>
      <w:r w:rsidRPr="00681CB2">
        <w:rPr>
          <w:rFonts w:ascii="Palatino Linotype" w:eastAsia="MS Mincho" w:hAnsi="Palatino Linotype"/>
        </w:rPr>
        <w:t xml:space="preserve">citados, los archivos integrantes del sistema se clasificarán en </w:t>
      </w:r>
      <w:r w:rsidRPr="00681CB2">
        <w:rPr>
          <w:rFonts w:ascii="Palatino Linotype" w:eastAsia="MS Mincho" w:hAnsi="Palatino Linotype"/>
          <w:i/>
        </w:rPr>
        <w:t>Archivos de trámite o de Oficina, Archivos de concentración o Generales y Archivos Históricos</w:t>
      </w:r>
      <w:r w:rsidRPr="00681CB2">
        <w:rPr>
          <w:rFonts w:ascii="Palatino Linotype" w:eastAsia="MS Mincho" w:hAnsi="Palatino Linotype"/>
        </w:rPr>
        <w:t xml:space="preserve">, atendiendo al ciclo de vida de los documentos de archivo; que en cada unidad administrativa de los sujetos obligados se integrará un </w:t>
      </w:r>
      <w:r w:rsidRPr="00681CB2">
        <w:rPr>
          <w:rFonts w:ascii="Palatino Linotype" w:eastAsia="MS Mincho" w:hAnsi="Palatino Linotype"/>
          <w:i/>
        </w:rPr>
        <w:t>archivo de trámite</w:t>
      </w:r>
      <w:r w:rsidRPr="00681CB2">
        <w:rPr>
          <w:rFonts w:ascii="Palatino Linotype" w:eastAsia="MS Mincho" w:hAnsi="Palatino Linotype"/>
        </w:rPr>
        <w:t xml:space="preserve">, que será la unidad archivística responsable de la gestión de los documentos de uso cotidiano y necesario para el ejercicio de las atribuciones del órgano productor, un </w:t>
      </w:r>
      <w:r w:rsidRPr="00681CB2">
        <w:rPr>
          <w:rFonts w:ascii="Palatino Linotype" w:eastAsia="MS Mincho" w:hAnsi="Palatino Linotype"/>
          <w:i/>
        </w:rPr>
        <w:t>archivo de concentración</w:t>
      </w:r>
      <w:r w:rsidRPr="00681CB2">
        <w:rPr>
          <w:rFonts w:ascii="Palatino Linotype" w:eastAsia="MS Mincho" w:hAnsi="Palatino Linotype"/>
        </w:rPr>
        <w:t xml:space="preserve"> que será la unidad archivística responsable de la gestión de los documentos de uso esporádico que deben mantenerse por razones administrativas, legales, fiscales o contables y en cada uno de los poderes del Estado y municipios se establecerá un </w:t>
      </w:r>
      <w:r w:rsidRPr="00681CB2">
        <w:rPr>
          <w:rFonts w:ascii="Palatino Linotype" w:eastAsia="MS Mincho" w:hAnsi="Palatino Linotype"/>
          <w:i/>
        </w:rPr>
        <w:t>archivo histórico</w:t>
      </w:r>
      <w:r w:rsidRPr="00681CB2">
        <w:rPr>
          <w:rFonts w:ascii="Palatino Linotype" w:eastAsia="MS Mincho" w:hAnsi="Palatino Linotype"/>
        </w:rPr>
        <w:t xml:space="preserve"> el cual se constituirá como fuente de acceso público, encargado de divulgar la memoria documental institucional, estimular el uso y aprovechamiento social de la documentación y difundir su acervo e instrumentos de consulta.</w:t>
      </w:r>
    </w:p>
    <w:p w14:paraId="10921E69" w14:textId="77777777" w:rsidR="000B65CF" w:rsidRPr="00681CB2" w:rsidRDefault="000B65CF" w:rsidP="000B65CF">
      <w:pPr>
        <w:spacing w:before="240" w:after="240" w:line="360" w:lineRule="auto"/>
        <w:jc w:val="both"/>
        <w:rPr>
          <w:rFonts w:ascii="Palatino Linotype" w:hAnsi="Palatino Linotype"/>
        </w:rPr>
      </w:pPr>
      <w:r w:rsidRPr="00681CB2">
        <w:rPr>
          <w:rFonts w:ascii="Palatino Linotype" w:eastAsia="MS Mincho" w:hAnsi="Palatino Linotype"/>
        </w:rPr>
        <w:t xml:space="preserve">En el mismo sentido, </w:t>
      </w:r>
      <w:r w:rsidRPr="00681CB2">
        <w:rPr>
          <w:rFonts w:ascii="Palatino Linotype" w:hAnsi="Palatino Linotype"/>
        </w:rPr>
        <w:t xml:space="preserve">los </w:t>
      </w:r>
      <w:r w:rsidRPr="00681CB2">
        <w:rPr>
          <w:rFonts w:ascii="Palatino Linotype" w:hAnsi="Palatino Linotype"/>
          <w:i/>
        </w:rPr>
        <w:t>Lineamientos para la valoración, selección y baja de los documentos, expedientes y series de trámite concluido en los archivos del Estado de México</w:t>
      </w:r>
      <w:r w:rsidRPr="00681CB2">
        <w:rPr>
          <w:rFonts w:ascii="Palatino Linotype" w:hAnsi="Palatino Linotype"/>
        </w:rPr>
        <w:t xml:space="preserve">, disponen lo que debe entenderse por archivo de trámite, archivo de concentración y archivo histórico, refiriendo que todos se tratan del conjunto de expedientes, con las </w:t>
      </w:r>
      <w:r w:rsidRPr="00681CB2">
        <w:rPr>
          <w:rFonts w:ascii="Palatino Linotype" w:hAnsi="Palatino Linotype"/>
        </w:rPr>
        <w:lastRenderedPageBreak/>
        <w:t xml:space="preserve">diferencias de que tratándose del primero de los mencionados su consulta es frecuente y necesaria para una adecuada toma de decisiones y despacho oportuno de los asuntos propios de la unidad administrativa de que se trate; por su parte el segundo de los archivos referidos lo identifica una consulta esporádica y se trata de expedientes que han sido transferidos por un archivo de trámite para su conservación </w:t>
      </w:r>
      <w:proofErr w:type="spellStart"/>
      <w:r w:rsidRPr="00681CB2">
        <w:rPr>
          <w:rFonts w:ascii="Palatino Linotype" w:hAnsi="Palatino Linotype"/>
        </w:rPr>
        <w:t>precaucional</w:t>
      </w:r>
      <w:proofErr w:type="spellEnd"/>
      <w:r w:rsidRPr="00681CB2">
        <w:rPr>
          <w:rFonts w:ascii="Palatino Linotype" w:hAnsi="Palatino Linotype"/>
        </w:rPr>
        <w:t xml:space="preserve"> mientras concluye su utilidad, permaneciendo ahí hasta su destino final; y finalmente el archivo histórico se trata de aquellos expedientes conservados de forma permanente por el valor científico cultural de su información, constituyendo parte del Patrimonio Documental del Estado</w:t>
      </w:r>
      <w:r w:rsidRPr="00681CB2">
        <w:rPr>
          <w:rStyle w:val="Refdenotaalpie"/>
          <w:rFonts w:ascii="Palatino Linotype" w:hAnsi="Palatino Linotype"/>
        </w:rPr>
        <w:footnoteReference w:id="6"/>
      </w:r>
      <w:r w:rsidRPr="00681CB2">
        <w:rPr>
          <w:rFonts w:ascii="Palatino Linotype" w:hAnsi="Palatino Linotype"/>
        </w:rPr>
        <w:t>.</w:t>
      </w:r>
    </w:p>
    <w:p w14:paraId="50A56F05" w14:textId="77777777" w:rsidR="000B65CF" w:rsidRPr="00681CB2" w:rsidRDefault="000B65CF" w:rsidP="000B65CF">
      <w:pPr>
        <w:spacing w:before="240" w:after="240" w:line="360" w:lineRule="auto"/>
        <w:jc w:val="both"/>
        <w:rPr>
          <w:rFonts w:ascii="Palatino Linotype" w:hAnsi="Palatino Linotype"/>
        </w:rPr>
      </w:pPr>
      <w:r w:rsidRPr="00681CB2">
        <w:rPr>
          <w:rFonts w:ascii="Palatino Linotype" w:hAnsi="Palatino Linotype"/>
        </w:rPr>
        <w:t>En otras palabras, se puede advertir que son tres tipos de archivos por los que puede pasar un documento o expediente de las unidades administrativas de los poderes del Estado y sus Municipios, así como de sus Tribunales Administrativos y órganos auxiliares, siendo el primero de ellos el archivo de trámite, cuyos expedientes después del tiempo determinado por los mismos Lineamientos pasaran al archivo de concentración y después de éste en su caso por el valor que tengan, pasarán al archivo histórico, o de lo contrario serán destruidos.</w:t>
      </w:r>
    </w:p>
    <w:p w14:paraId="75A0FA97" w14:textId="77777777" w:rsidR="000B65CF" w:rsidRPr="00681CB2" w:rsidRDefault="000B65CF" w:rsidP="000B65CF">
      <w:pPr>
        <w:spacing w:before="240" w:after="240" w:line="360" w:lineRule="auto"/>
        <w:jc w:val="both"/>
        <w:rPr>
          <w:rFonts w:ascii="Palatino Linotype" w:hAnsi="Palatino Linotype"/>
        </w:rPr>
      </w:pPr>
      <w:r w:rsidRPr="00681CB2">
        <w:rPr>
          <w:rFonts w:ascii="Palatino Linotype" w:hAnsi="Palatino Linotype"/>
        </w:rPr>
        <w:t xml:space="preserve">Así, los documentos y expedientes de las unidades administrativas, deben mantenerse íntegros por un periodo de dos años en los archivos de trámite; después de ese plazo se podrá proceder a su selección y transferencia al archivo de </w:t>
      </w:r>
      <w:r w:rsidRPr="00681CB2">
        <w:rPr>
          <w:rFonts w:ascii="Palatino Linotype" w:hAnsi="Palatino Linotype"/>
        </w:rPr>
        <w:lastRenderedPageBreak/>
        <w:t>concentración</w:t>
      </w:r>
      <w:r w:rsidRPr="00681CB2">
        <w:rPr>
          <w:rStyle w:val="Refdenotaalpie"/>
          <w:rFonts w:ascii="Palatino Linotype" w:hAnsi="Palatino Linotype"/>
        </w:rPr>
        <w:footnoteReference w:id="7"/>
      </w:r>
      <w:r w:rsidRPr="00681CB2">
        <w:rPr>
          <w:rFonts w:ascii="Palatino Linotype" w:hAnsi="Palatino Linotype"/>
        </w:rPr>
        <w:t>, de lo que se denota que en dicho archivo se conserva información de por lo menos hasta dos años de antigüedad.</w:t>
      </w:r>
    </w:p>
    <w:p w14:paraId="3BBA62A6" w14:textId="77777777" w:rsidR="000B65CF" w:rsidRPr="00681CB2" w:rsidRDefault="000B65CF" w:rsidP="000B65CF">
      <w:pPr>
        <w:spacing w:before="240" w:after="240" w:line="360" w:lineRule="auto"/>
        <w:jc w:val="both"/>
        <w:rPr>
          <w:rFonts w:ascii="Palatino Linotype" w:hAnsi="Palatino Linotype" w:cs="Arial"/>
        </w:rPr>
      </w:pPr>
      <w:r w:rsidRPr="00681CB2">
        <w:rPr>
          <w:rFonts w:ascii="Palatino Linotype" w:hAnsi="Palatino Linotype"/>
        </w:rPr>
        <w:t xml:space="preserve">Después, dentro del archivo de concentración de cada unidad administrativa, igualmente se deberá conservar su documentación y expedientes por un determinado periodo de tiempo según la materia de que se trate la información como se preceptúa en el artículo 27 de los </w:t>
      </w:r>
      <w:r w:rsidRPr="00681CB2">
        <w:rPr>
          <w:rFonts w:ascii="Palatino Linotype" w:hAnsi="Palatino Linotype"/>
          <w:i/>
        </w:rPr>
        <w:t xml:space="preserve">Lineamientos </w:t>
      </w:r>
      <w:r w:rsidRPr="00681CB2">
        <w:rPr>
          <w:rFonts w:ascii="Palatino Linotype" w:hAnsi="Palatino Linotype" w:cs="Arial"/>
          <w:i/>
        </w:rPr>
        <w:t>para la valoración, selección y baja de los documentos, expedientes y series de trámite concluido en los archivos del Estado de México</w:t>
      </w:r>
      <w:r w:rsidRPr="00681CB2">
        <w:rPr>
          <w:rFonts w:ascii="Palatino Linotype" w:hAnsi="Palatino Linotype" w:cs="Arial"/>
        </w:rPr>
        <w:t xml:space="preserve">, cuyo sentido literal es el siguiente: </w:t>
      </w:r>
    </w:p>
    <w:p w14:paraId="78675471"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w:t>
      </w:r>
      <w:r w:rsidRPr="00681CB2">
        <w:rPr>
          <w:rFonts w:ascii="Palatino Linotype" w:hAnsi="Palatino Linotype"/>
          <w:b/>
          <w:i/>
          <w:sz w:val="22"/>
          <w:szCs w:val="22"/>
        </w:rPr>
        <w:t>Artículo 27</w:t>
      </w:r>
      <w:r w:rsidRPr="00681CB2">
        <w:rPr>
          <w:rFonts w:ascii="Palatino Linotype" w:hAnsi="Palatino Linotype"/>
          <w:i/>
          <w:sz w:val="22"/>
          <w:szCs w:val="22"/>
        </w:rPr>
        <w:t xml:space="preserve">.- </w:t>
      </w:r>
      <w:r w:rsidRPr="00681CB2">
        <w:rPr>
          <w:rFonts w:ascii="Palatino Linotype" w:hAnsi="Palatino Linotype"/>
          <w:b/>
          <w:i/>
          <w:sz w:val="22"/>
          <w:szCs w:val="22"/>
        </w:rPr>
        <w:t xml:space="preserve">Las Unidades Administrativas al realizar la transferencia de los expedientes de trámite concluido, señalarán en el Inventario correspondiente los plazos de conservación </w:t>
      </w:r>
      <w:proofErr w:type="spellStart"/>
      <w:r w:rsidRPr="00681CB2">
        <w:rPr>
          <w:rFonts w:ascii="Palatino Linotype" w:hAnsi="Palatino Linotype"/>
          <w:b/>
          <w:i/>
          <w:sz w:val="22"/>
          <w:szCs w:val="22"/>
        </w:rPr>
        <w:t>precaucional</w:t>
      </w:r>
      <w:proofErr w:type="spellEnd"/>
      <w:r w:rsidRPr="00681CB2">
        <w:rPr>
          <w:rFonts w:ascii="Palatino Linotype" w:hAnsi="Palatino Linotype"/>
          <w:b/>
          <w:i/>
          <w:sz w:val="22"/>
          <w:szCs w:val="22"/>
        </w:rPr>
        <w:t xml:space="preserve"> de éstos en el Archivo de Concentración</w:t>
      </w:r>
      <w:r w:rsidRPr="00681CB2">
        <w:rPr>
          <w:rFonts w:ascii="Palatino Linotype" w:hAnsi="Palatino Linotype"/>
          <w:i/>
          <w:sz w:val="22"/>
          <w:szCs w:val="22"/>
        </w:rPr>
        <w:t xml:space="preserve">. Para determinar el plazo de conservación </w:t>
      </w:r>
      <w:proofErr w:type="spellStart"/>
      <w:r w:rsidRPr="00681CB2">
        <w:rPr>
          <w:rFonts w:ascii="Palatino Linotype" w:hAnsi="Palatino Linotype"/>
          <w:i/>
          <w:sz w:val="22"/>
          <w:szCs w:val="22"/>
        </w:rPr>
        <w:t>precaucional</w:t>
      </w:r>
      <w:proofErr w:type="spellEnd"/>
      <w:r w:rsidRPr="00681CB2">
        <w:rPr>
          <w:rFonts w:ascii="Palatino Linotype" w:hAnsi="Palatino Linotype"/>
          <w:i/>
          <w:sz w:val="22"/>
          <w:szCs w:val="22"/>
        </w:rPr>
        <w:t xml:space="preserve"> deberán considerar el marco legal o administrativo bajo el cual se produjeron o recibieron los documentos y los siguientes períodos: </w:t>
      </w:r>
    </w:p>
    <w:p w14:paraId="2F1F6099"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 xml:space="preserve">I. </w:t>
      </w:r>
      <w:r w:rsidRPr="00681CB2">
        <w:rPr>
          <w:rFonts w:ascii="Palatino Linotype" w:hAnsi="Palatino Linotype"/>
          <w:b/>
          <w:i/>
          <w:sz w:val="22"/>
          <w:szCs w:val="22"/>
        </w:rPr>
        <w:t>6 años</w:t>
      </w:r>
      <w:r w:rsidRPr="00681CB2">
        <w:rPr>
          <w:rFonts w:ascii="Palatino Linotype" w:hAnsi="Palatino Linotype"/>
          <w:i/>
          <w:sz w:val="22"/>
          <w:szCs w:val="22"/>
        </w:rPr>
        <w:t xml:space="preserve"> para expedientes con información administrativa; </w:t>
      </w:r>
    </w:p>
    <w:p w14:paraId="61C996A3"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 xml:space="preserve">II. </w:t>
      </w:r>
      <w:r w:rsidRPr="00681CB2">
        <w:rPr>
          <w:rFonts w:ascii="Palatino Linotype" w:hAnsi="Palatino Linotype"/>
          <w:b/>
          <w:i/>
          <w:sz w:val="22"/>
          <w:szCs w:val="22"/>
        </w:rPr>
        <w:t>6 años</w:t>
      </w:r>
      <w:r w:rsidRPr="00681CB2">
        <w:rPr>
          <w:rFonts w:ascii="Palatino Linotype" w:hAnsi="Palatino Linotype"/>
          <w:i/>
          <w:sz w:val="22"/>
          <w:szCs w:val="22"/>
        </w:rPr>
        <w:t xml:space="preserve"> como mínimo para expedientes con información fiscal y presupuestal contable; </w:t>
      </w:r>
    </w:p>
    <w:p w14:paraId="0DA4C8E1"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 xml:space="preserve">III. </w:t>
      </w:r>
      <w:r w:rsidRPr="00681CB2">
        <w:rPr>
          <w:rFonts w:ascii="Palatino Linotype" w:hAnsi="Palatino Linotype"/>
          <w:b/>
          <w:i/>
          <w:sz w:val="22"/>
          <w:szCs w:val="22"/>
        </w:rPr>
        <w:t>12 años</w:t>
      </w:r>
      <w:r w:rsidRPr="00681CB2">
        <w:rPr>
          <w:rFonts w:ascii="Palatino Linotype" w:hAnsi="Palatino Linotype"/>
          <w:i/>
          <w:sz w:val="22"/>
          <w:szCs w:val="22"/>
        </w:rPr>
        <w:t xml:space="preserve"> como mínimo para expedientes con información jurídico-legal, obra pública y activo fijo; y </w:t>
      </w:r>
    </w:p>
    <w:p w14:paraId="05BB152B"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 xml:space="preserve">IV. </w:t>
      </w:r>
      <w:r w:rsidRPr="00681CB2">
        <w:rPr>
          <w:rFonts w:ascii="Palatino Linotype" w:hAnsi="Palatino Linotype"/>
          <w:b/>
          <w:i/>
          <w:sz w:val="22"/>
          <w:szCs w:val="22"/>
        </w:rPr>
        <w:t xml:space="preserve">Cuando en la legislación se establezcan períodos de conservación mayores a los señalados en las fracciones I, II y III, se considerarán los </w:t>
      </w:r>
      <w:r w:rsidRPr="00681CB2">
        <w:rPr>
          <w:rFonts w:ascii="Palatino Linotype" w:hAnsi="Palatino Linotype"/>
          <w:b/>
          <w:i/>
          <w:sz w:val="22"/>
          <w:szCs w:val="22"/>
        </w:rPr>
        <w:lastRenderedPageBreak/>
        <w:t>estipulados en dicha legislación</w:t>
      </w:r>
      <w:r w:rsidRPr="00681CB2">
        <w:rPr>
          <w:rFonts w:ascii="Palatino Linotype" w:hAnsi="Palatino Linotype"/>
          <w:i/>
          <w:sz w:val="22"/>
          <w:szCs w:val="22"/>
        </w:rPr>
        <w:t xml:space="preserve"> para efectos de realización del proceso de selección final. </w:t>
      </w:r>
    </w:p>
    <w:p w14:paraId="7527B349"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 xml:space="preserve">V. Cuando las Unidades Administrativas no indiquen el plazo de conservación </w:t>
      </w:r>
      <w:proofErr w:type="spellStart"/>
      <w:r w:rsidRPr="00681CB2">
        <w:rPr>
          <w:rFonts w:ascii="Palatino Linotype" w:hAnsi="Palatino Linotype"/>
          <w:i/>
          <w:sz w:val="22"/>
          <w:szCs w:val="22"/>
        </w:rPr>
        <w:t>precaucional</w:t>
      </w:r>
      <w:proofErr w:type="spellEnd"/>
      <w:r w:rsidRPr="00681CB2">
        <w:rPr>
          <w:rFonts w:ascii="Palatino Linotype" w:hAnsi="Palatino Linotype"/>
          <w:i/>
          <w:sz w:val="22"/>
          <w:szCs w:val="22"/>
        </w:rPr>
        <w:t xml:space="preserve"> de sus expedientes en el Inventario correspondiente, los Archivos de Concentración podrán rechazar la transferencia de los expedientes.”</w:t>
      </w:r>
    </w:p>
    <w:p w14:paraId="0F15FF38" w14:textId="77777777" w:rsidR="000B65CF" w:rsidRPr="00681CB2" w:rsidRDefault="000B65CF" w:rsidP="000B65CF">
      <w:pPr>
        <w:spacing w:before="240" w:after="240" w:line="360" w:lineRule="auto"/>
        <w:jc w:val="both"/>
        <w:rPr>
          <w:rFonts w:ascii="Palatino Linotype" w:hAnsi="Palatino Linotype"/>
        </w:rPr>
      </w:pPr>
      <w:r w:rsidRPr="00681CB2">
        <w:rPr>
          <w:rFonts w:ascii="Palatino Linotype" w:hAnsi="Palatino Linotype"/>
        </w:rPr>
        <w:t>Aunado a lo citado por dicho artículo cabe hacer mención del artículo 32 de los Lineamientos multicitados, a saber:</w:t>
      </w:r>
    </w:p>
    <w:p w14:paraId="59ECB905"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w:t>
      </w:r>
      <w:r w:rsidRPr="00681CB2">
        <w:rPr>
          <w:rFonts w:ascii="Palatino Linotype" w:hAnsi="Palatino Linotype"/>
          <w:b/>
          <w:i/>
          <w:sz w:val="22"/>
          <w:szCs w:val="22"/>
        </w:rPr>
        <w:t>Artículo 32.-</w:t>
      </w:r>
      <w:r w:rsidRPr="00681CB2">
        <w:rPr>
          <w:rFonts w:ascii="Palatino Linotype" w:hAnsi="Palatino Linotype"/>
          <w:i/>
          <w:sz w:val="22"/>
          <w:szCs w:val="22"/>
        </w:rPr>
        <w:t xml:space="preserve"> </w:t>
      </w:r>
      <w:r w:rsidRPr="00681CB2">
        <w:rPr>
          <w:rFonts w:ascii="Palatino Linotype" w:hAnsi="Palatino Linotype"/>
          <w:b/>
          <w:i/>
          <w:sz w:val="22"/>
          <w:szCs w:val="22"/>
        </w:rPr>
        <w:t xml:space="preserve">Los tipos y las series documentales que al concluir el proceso de selección final deban conservarse permanentemente por el valor secundario de su información, permanecerán en el Archivo de Concentración por un período </w:t>
      </w:r>
      <w:r w:rsidRPr="00681CB2">
        <w:rPr>
          <w:rFonts w:ascii="Palatino Linotype" w:hAnsi="Palatino Linotype"/>
          <w:b/>
          <w:i/>
          <w:sz w:val="22"/>
          <w:szCs w:val="22"/>
          <w:u w:val="single"/>
        </w:rPr>
        <w:t>de 20 años</w:t>
      </w:r>
      <w:r w:rsidRPr="00681CB2">
        <w:rPr>
          <w:rFonts w:ascii="Palatino Linotype" w:hAnsi="Palatino Linotype"/>
          <w:b/>
          <w:i/>
          <w:sz w:val="22"/>
          <w:szCs w:val="22"/>
        </w:rPr>
        <w:t>.</w:t>
      </w:r>
      <w:r w:rsidRPr="00681CB2">
        <w:rPr>
          <w:rFonts w:ascii="Palatino Linotype" w:hAnsi="Palatino Linotype"/>
          <w:i/>
          <w:sz w:val="22"/>
          <w:szCs w:val="22"/>
        </w:rPr>
        <w:t xml:space="preserve"> Este período se computará a partir del día siguiente a la fecha de conclusión del plazo de conservación </w:t>
      </w:r>
      <w:proofErr w:type="spellStart"/>
      <w:r w:rsidRPr="00681CB2">
        <w:rPr>
          <w:rFonts w:ascii="Palatino Linotype" w:hAnsi="Palatino Linotype"/>
          <w:i/>
          <w:sz w:val="22"/>
          <w:szCs w:val="22"/>
        </w:rPr>
        <w:t>precaucional</w:t>
      </w:r>
      <w:proofErr w:type="spellEnd"/>
      <w:r w:rsidRPr="00681CB2">
        <w:rPr>
          <w:rFonts w:ascii="Palatino Linotype" w:hAnsi="Palatino Linotype"/>
          <w:i/>
          <w:sz w:val="22"/>
          <w:szCs w:val="22"/>
        </w:rPr>
        <w:t>.”</w:t>
      </w:r>
    </w:p>
    <w:p w14:paraId="6982DF10" w14:textId="77777777" w:rsidR="000B65CF" w:rsidRPr="00681CB2" w:rsidRDefault="000B65CF" w:rsidP="000B65CF">
      <w:pPr>
        <w:spacing w:before="240" w:after="240" w:line="360" w:lineRule="auto"/>
        <w:jc w:val="both"/>
        <w:rPr>
          <w:rFonts w:ascii="Palatino Linotype" w:hAnsi="Palatino Linotype"/>
        </w:rPr>
      </w:pPr>
      <w:r w:rsidRPr="00681CB2">
        <w:rPr>
          <w:rFonts w:ascii="Palatino Linotype" w:hAnsi="Palatino Linotype"/>
        </w:rPr>
        <w:t>Es decir, de los elementos normativos transcritos, es notorio que los expedientes de las unidades administrativas pueden permanecer en su archivo de concentración desde seis hasta veinte años si se trata de información de contenido administrativo de importancia.</w:t>
      </w:r>
    </w:p>
    <w:p w14:paraId="5CB45861" w14:textId="77777777" w:rsidR="000B65CF" w:rsidRPr="00681CB2" w:rsidRDefault="000B65CF" w:rsidP="000B65CF">
      <w:pPr>
        <w:spacing w:before="240" w:after="240" w:line="360" w:lineRule="auto"/>
        <w:jc w:val="both"/>
        <w:rPr>
          <w:rFonts w:ascii="Palatino Linotype" w:eastAsia="MS Mincho" w:hAnsi="Palatino Linotype"/>
        </w:rPr>
      </w:pPr>
      <w:r w:rsidRPr="00681CB2">
        <w:rPr>
          <w:rFonts w:ascii="Palatino Linotype" w:hAnsi="Palatino Linotype"/>
        </w:rPr>
        <w:t xml:space="preserve">Documentos respecto de los cuales,  al encontrarse en sus archivos ya sea de trámite o de concentración, el Sujeto Obligado tiene la obligación de facilitar su acceso en términos de la Ley de Transparencia, la Ley de Documentos y los Lineamientos para la administración de documentos en el Estado de México, esto es, hasta el momento en que prescriban sus valores administrativos y concluya su conservación </w:t>
      </w:r>
      <w:proofErr w:type="spellStart"/>
      <w:r w:rsidRPr="00681CB2">
        <w:rPr>
          <w:rFonts w:ascii="Palatino Linotype" w:hAnsi="Palatino Linotype"/>
        </w:rPr>
        <w:t>precaucional</w:t>
      </w:r>
      <w:proofErr w:type="spellEnd"/>
      <w:r w:rsidRPr="00681CB2">
        <w:rPr>
          <w:rFonts w:ascii="Palatino Linotype" w:hAnsi="Palatino Linotype"/>
        </w:rPr>
        <w:t xml:space="preserve"> y adquieran el carácter de históricos o proceda su eliminación, de </w:t>
      </w:r>
      <w:r w:rsidRPr="00681CB2">
        <w:rPr>
          <w:rFonts w:ascii="Palatino Linotype" w:hAnsi="Palatino Linotype"/>
        </w:rPr>
        <w:lastRenderedPageBreak/>
        <w:t xml:space="preserve">conformidad a los artículos 7 y 70 de los </w:t>
      </w:r>
      <w:r w:rsidRPr="00681CB2">
        <w:rPr>
          <w:rFonts w:ascii="Palatino Linotype" w:hAnsi="Palatino Linotype" w:cs="Arial"/>
          <w:i/>
          <w:color w:val="000000"/>
        </w:rPr>
        <w:t>Lineamientos para la administración de Documentos en el Estado de México</w:t>
      </w:r>
      <w:r w:rsidRPr="00681CB2">
        <w:rPr>
          <w:rStyle w:val="Refdenotaalpie"/>
          <w:rFonts w:ascii="Palatino Linotype" w:hAnsi="Palatino Linotype"/>
        </w:rPr>
        <w:t xml:space="preserve"> </w:t>
      </w:r>
      <w:r w:rsidRPr="00681CB2">
        <w:rPr>
          <w:rStyle w:val="Refdenotaalpie"/>
          <w:rFonts w:ascii="Palatino Linotype" w:hAnsi="Palatino Linotype"/>
        </w:rPr>
        <w:footnoteReference w:id="8"/>
      </w:r>
      <w:r w:rsidRPr="00681CB2">
        <w:rPr>
          <w:rFonts w:ascii="Palatino Linotype" w:hAnsi="Palatino Linotype"/>
        </w:rPr>
        <w:t>.</w:t>
      </w:r>
    </w:p>
    <w:p w14:paraId="428F5153" w14:textId="77777777" w:rsidR="00386974" w:rsidRPr="00681CB2" w:rsidRDefault="000B65CF" w:rsidP="000B65CF">
      <w:pPr>
        <w:spacing w:before="240" w:after="240" w:line="360" w:lineRule="auto"/>
        <w:jc w:val="both"/>
        <w:rPr>
          <w:rFonts w:ascii="Palatino Linotype" w:hAnsi="Palatino Linotype"/>
        </w:rPr>
      </w:pPr>
      <w:r w:rsidRPr="00681CB2">
        <w:rPr>
          <w:rFonts w:ascii="Palatino Linotype" w:eastAsia="Calibri" w:hAnsi="Palatino Linotype" w:cs="Arial"/>
        </w:rPr>
        <w:t xml:space="preserve">En tal sentido es procedente </w:t>
      </w:r>
      <w:r w:rsidRPr="00681CB2">
        <w:rPr>
          <w:rFonts w:ascii="Palatino Linotype" w:hAnsi="Palatino Linotype"/>
        </w:rPr>
        <w:t>ordenar una búsqueda exhaustiva y razonable de la información a fin de dar satisfacción a la solicitud de información del recurrente.</w:t>
      </w:r>
    </w:p>
    <w:p w14:paraId="77002F76" w14:textId="3F74A52B" w:rsidR="000B65CF" w:rsidRPr="00681CB2" w:rsidRDefault="00386974" w:rsidP="000B65CF">
      <w:pPr>
        <w:spacing w:before="240" w:after="240" w:line="360" w:lineRule="auto"/>
        <w:jc w:val="both"/>
        <w:rPr>
          <w:rFonts w:ascii="Palatino Linotype" w:hAnsi="Palatino Linotype"/>
        </w:rPr>
      </w:pPr>
      <w:r w:rsidRPr="00681CB2">
        <w:rPr>
          <w:rFonts w:ascii="Palatino Linotype" w:hAnsi="Palatino Linotype"/>
        </w:rPr>
        <w:t xml:space="preserve">La </w:t>
      </w:r>
      <w:r w:rsidR="000B65CF" w:rsidRPr="00681CB2">
        <w:rPr>
          <w:rFonts w:ascii="Palatino Linotype" w:hAnsi="Palatino Linotype"/>
        </w:rPr>
        <w:t>búsqueda exhaustiva de la info</w:t>
      </w:r>
      <w:r w:rsidRPr="00681CB2">
        <w:rPr>
          <w:rFonts w:ascii="Palatino Linotype" w:hAnsi="Palatino Linotype"/>
        </w:rPr>
        <w:t>rmación puede tener dos efectos</w:t>
      </w:r>
      <w:r w:rsidR="000B65CF" w:rsidRPr="00681CB2">
        <w:rPr>
          <w:rFonts w:ascii="Palatino Linotype" w:hAnsi="Palatino Linotype"/>
        </w:rPr>
        <w:t>: que se localice la documentación que contenga la información solicitada en dicho caso lo procedente será la entrega de la información a</w:t>
      </w:r>
      <w:r w:rsidR="00014E9A" w:rsidRPr="00681CB2">
        <w:rPr>
          <w:rFonts w:ascii="Palatino Linotype" w:hAnsi="Palatino Linotype"/>
        </w:rPr>
        <w:t xml:space="preserve">l </w:t>
      </w:r>
      <w:r w:rsidR="000B65CF" w:rsidRPr="00681CB2">
        <w:rPr>
          <w:rFonts w:ascii="Palatino Linotype" w:hAnsi="Palatino Linotype"/>
        </w:rPr>
        <w:t>solicitante; por otro lado puede suceder que no se haya encontrado documento alguno que contenga la información requerida, por lo que agotadas las medidas necesarias de búsqueda de la información el Comité de Transparencia deberá emitir la declaratoria de inexistencia de la información de mérito.</w:t>
      </w:r>
    </w:p>
    <w:p w14:paraId="5D29C1EB" w14:textId="77777777" w:rsidR="000B65CF" w:rsidRPr="00681CB2" w:rsidRDefault="000B65CF" w:rsidP="000B65CF">
      <w:pPr>
        <w:spacing w:before="240" w:after="240" w:line="360" w:lineRule="auto"/>
        <w:jc w:val="both"/>
        <w:rPr>
          <w:rFonts w:ascii="Palatino Linotype" w:hAnsi="Palatino Linotype"/>
        </w:rPr>
      </w:pPr>
      <w:r w:rsidRPr="00681CB2">
        <w:rPr>
          <w:rFonts w:ascii="Palatino Linotype" w:hAnsi="Palatino Linotype"/>
        </w:rPr>
        <w:t>Tiene aplicación al respecto el criterio de interpretación en el orden administrativo número 0004-11 emitido por este Instituto, cuyo contenido literal se señala enseguida:</w:t>
      </w:r>
    </w:p>
    <w:p w14:paraId="26013E8C"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 xml:space="preserve">“CRITERIO 0004-11 </w:t>
      </w:r>
    </w:p>
    <w:p w14:paraId="18C94319"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b/>
          <w:i/>
          <w:sz w:val="22"/>
          <w:szCs w:val="22"/>
        </w:rPr>
        <w:lastRenderedPageBreak/>
        <w:t>INEXISTENCIA. DECLARATORIA DE LA. ALCANCES Y PROCEDIMIENTOS</w:t>
      </w:r>
      <w:r w:rsidRPr="00681CB2">
        <w:rPr>
          <w:rFonts w:ascii="Palatino Linotype" w:hAnsi="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7C1FDF6F"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 xml:space="preserve">Bajo el entendido de que dicha búsqueda exhaustiva permitirá dos determinaciones: </w:t>
      </w:r>
    </w:p>
    <w:p w14:paraId="6DCB9EDB"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 xml:space="preserve">1ª) Que se localice la documentación que contenga la información solicitada y de ser así la información pueda entregarse al solicitante en la forma en que se encuentra disponible, o </w:t>
      </w:r>
    </w:p>
    <w:p w14:paraId="379A2960"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 xml:space="preserve">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30321E6B" w14:textId="77777777" w:rsidR="000B65CF" w:rsidRPr="00681CB2" w:rsidRDefault="000B65CF" w:rsidP="000B65CF">
      <w:pPr>
        <w:spacing w:before="240" w:after="240"/>
        <w:ind w:left="851" w:right="900"/>
        <w:jc w:val="both"/>
        <w:rPr>
          <w:rFonts w:ascii="Palatino Linotype" w:hAnsi="Palatino Linotype"/>
        </w:rPr>
      </w:pPr>
      <w:r w:rsidRPr="00681CB2">
        <w:rPr>
          <w:rFonts w:ascii="Palatino Linotype" w:hAnsi="Palatino Linotype"/>
          <w:i/>
          <w:sz w:val="22"/>
          <w:szCs w:val="22"/>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w:t>
      </w:r>
      <w:r w:rsidRPr="00681CB2">
        <w:rPr>
          <w:rFonts w:ascii="Palatino Linotype" w:hAnsi="Palatino Linotype"/>
          <w:i/>
          <w:sz w:val="22"/>
          <w:szCs w:val="22"/>
        </w:rPr>
        <w:lastRenderedPageBreak/>
        <w:t>circunstancias que se tomaron en cuenta para llegar a determinar que la información requerida no obra en los archivos a cargo.”</w:t>
      </w:r>
    </w:p>
    <w:p w14:paraId="0DC5C0D9" w14:textId="77777777" w:rsidR="000B65CF" w:rsidRPr="00681CB2" w:rsidRDefault="000B65CF" w:rsidP="000B65CF">
      <w:pPr>
        <w:spacing w:before="240" w:after="240" w:line="360" w:lineRule="auto"/>
        <w:jc w:val="both"/>
        <w:rPr>
          <w:rFonts w:ascii="Palatino Linotype" w:hAnsi="Palatino Linotype"/>
        </w:rPr>
      </w:pPr>
      <w:r w:rsidRPr="00681CB2">
        <w:rPr>
          <w:rFonts w:ascii="Palatino Linotype" w:hAnsi="Palatino Linotype"/>
        </w:rPr>
        <w:t>Ahora bien,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Sujeto Obligado,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Sujeto Obligado debió de haber generado, administrado o poseído la información pero en incumplimiento a la norma no lo llevo a cabo. Tal como se lee del criterio que para mayor referencia se transcribe a continuación:</w:t>
      </w:r>
    </w:p>
    <w:p w14:paraId="7683ED5E"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w:t>
      </w:r>
      <w:r w:rsidRPr="00681CB2">
        <w:rPr>
          <w:rFonts w:ascii="Palatino Linotype" w:hAnsi="Palatino Linotype"/>
          <w:b/>
          <w:i/>
          <w:sz w:val="22"/>
          <w:szCs w:val="22"/>
        </w:rPr>
        <w:t>INEXISTENCIA, CONCEPTO DE, EN MATERIA DE TRANSPARENCIA</w:t>
      </w:r>
      <w:r w:rsidRPr="00681CB2">
        <w:rPr>
          <w:rFonts w:ascii="Palatino Linotype" w:hAnsi="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681CB2">
        <w:rPr>
          <w:rFonts w:ascii="Palatino Linotype" w:hAnsi="Palatino Linotype"/>
          <w:b/>
          <w:i/>
          <w:sz w:val="22"/>
          <w:szCs w:val="22"/>
        </w:rPr>
        <w:t>supuestos:</w:t>
      </w:r>
      <w:r w:rsidRPr="00681CB2">
        <w:rPr>
          <w:rFonts w:ascii="Palatino Linotype" w:hAnsi="Palatino Linotype"/>
          <w:i/>
          <w:sz w:val="22"/>
          <w:szCs w:val="22"/>
        </w:rPr>
        <w:t xml:space="preserve"> </w:t>
      </w:r>
    </w:p>
    <w:p w14:paraId="3E361341" w14:textId="77777777" w:rsidR="000B65CF" w:rsidRPr="00681CB2" w:rsidRDefault="000B65CF" w:rsidP="000B65CF">
      <w:pPr>
        <w:pStyle w:val="Prrafodelista"/>
        <w:numPr>
          <w:ilvl w:val="0"/>
          <w:numId w:val="37"/>
        </w:numPr>
        <w:spacing w:before="240" w:after="240"/>
        <w:ind w:left="851" w:right="900"/>
        <w:jc w:val="both"/>
        <w:rPr>
          <w:rFonts w:ascii="Palatino Linotype" w:hAnsi="Palatino Linotype"/>
          <w:b/>
          <w:i/>
          <w:sz w:val="22"/>
          <w:szCs w:val="22"/>
        </w:rPr>
      </w:pPr>
      <w:r w:rsidRPr="00681CB2">
        <w:rPr>
          <w:rFonts w:ascii="Palatino Linotype" w:hAnsi="Palatino Linotype"/>
          <w:b/>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3B8D71DD" w14:textId="77777777" w:rsidR="000B65CF" w:rsidRPr="00681CB2" w:rsidRDefault="000B65CF" w:rsidP="000B65CF">
      <w:pPr>
        <w:pStyle w:val="Prrafodelista"/>
        <w:numPr>
          <w:ilvl w:val="0"/>
          <w:numId w:val="37"/>
        </w:num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lastRenderedPageBreak/>
        <w:t xml:space="preserve">En los casos en que por las atribuciones conferidas al Sujeto Obligado éste debió generar, administrar o poseer la información, pero en incumplimiento a la normatividad respectiva no llevó a cabo </w:t>
      </w:r>
      <w:proofErr w:type="gramStart"/>
      <w:r w:rsidRPr="00681CB2">
        <w:rPr>
          <w:rFonts w:ascii="Palatino Linotype" w:hAnsi="Palatino Linotype"/>
          <w:i/>
          <w:sz w:val="22"/>
          <w:szCs w:val="22"/>
        </w:rPr>
        <w:t>ninguna</w:t>
      </w:r>
      <w:proofErr w:type="gramEnd"/>
      <w:r w:rsidRPr="00681CB2">
        <w:rPr>
          <w:rFonts w:ascii="Palatino Linotype" w:hAnsi="Palatino Linotype"/>
          <w:i/>
          <w:sz w:val="22"/>
          <w:szCs w:val="22"/>
        </w:rPr>
        <w:t xml:space="preserve"> de esas acciones. </w:t>
      </w:r>
    </w:p>
    <w:p w14:paraId="3C560F8A"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C9EFC52" w14:textId="77777777" w:rsidR="000B65CF" w:rsidRPr="00681CB2" w:rsidRDefault="000B65CF" w:rsidP="000B65CF">
      <w:pPr>
        <w:spacing w:before="240" w:after="240" w:line="360" w:lineRule="auto"/>
        <w:jc w:val="both"/>
        <w:rPr>
          <w:rFonts w:ascii="Palatino Linotype" w:hAnsi="Palatino Linotype"/>
        </w:rPr>
      </w:pPr>
      <w:r w:rsidRPr="00681CB2">
        <w:rPr>
          <w:rFonts w:ascii="Palatino Linotype" w:hAnsi="Palatino Linotype"/>
        </w:rPr>
        <w:t>Por lo que la declaración de inexistencia en el caso de no localizar la información deberá realizarse igualmente en términos de lo que señala el artículo 19, tercer párrafo, 49, fracciones II y XIII;  169 y 170 de la Ley de Transparencia y Acceso a la Información Pública del Estado de México y Municipios, que se leen como sigue:</w:t>
      </w:r>
    </w:p>
    <w:p w14:paraId="0A42B1CE"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w:t>
      </w:r>
      <w:r w:rsidRPr="00681CB2">
        <w:rPr>
          <w:rFonts w:ascii="Palatino Linotype" w:hAnsi="Palatino Linotype"/>
          <w:b/>
          <w:i/>
          <w:sz w:val="22"/>
          <w:szCs w:val="22"/>
        </w:rPr>
        <w:t>Artículo 19.</w:t>
      </w:r>
      <w:r w:rsidRPr="00681CB2">
        <w:rPr>
          <w:rFonts w:ascii="Palatino Linotype" w:hAnsi="Palatino Linotype"/>
          <w:i/>
          <w:sz w:val="22"/>
          <w:szCs w:val="22"/>
        </w:rPr>
        <w:t xml:space="preserve"> (…)</w:t>
      </w:r>
    </w:p>
    <w:p w14:paraId="3BABE169"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681CB2">
        <w:rPr>
          <w:rFonts w:ascii="Palatino Linotype" w:hAnsi="Palatino Linotype"/>
          <w:i/>
          <w:sz w:val="22"/>
          <w:szCs w:val="22"/>
        </w:rPr>
        <w:t>, debidamente fundado y motivado, en el que detalle las razones del por qué no obra en sus archivos.”</w:t>
      </w:r>
    </w:p>
    <w:p w14:paraId="4BF34E1D"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w:t>
      </w:r>
      <w:r w:rsidRPr="00681CB2">
        <w:rPr>
          <w:rFonts w:ascii="Palatino Linotype" w:hAnsi="Palatino Linotype"/>
          <w:b/>
          <w:i/>
          <w:sz w:val="22"/>
          <w:szCs w:val="22"/>
        </w:rPr>
        <w:t>Artículo 49.</w:t>
      </w:r>
      <w:r w:rsidRPr="00681CB2">
        <w:rPr>
          <w:rFonts w:ascii="Palatino Linotype" w:hAnsi="Palatino Linotype"/>
          <w:i/>
          <w:sz w:val="22"/>
          <w:szCs w:val="22"/>
        </w:rPr>
        <w:t xml:space="preserve"> </w:t>
      </w:r>
      <w:r w:rsidRPr="00681CB2">
        <w:rPr>
          <w:rFonts w:ascii="Palatino Linotype" w:hAnsi="Palatino Linotype"/>
          <w:b/>
          <w:i/>
          <w:sz w:val="22"/>
          <w:szCs w:val="22"/>
        </w:rPr>
        <w:t>Los Comités de Transparencia</w:t>
      </w:r>
      <w:r w:rsidRPr="00681CB2">
        <w:rPr>
          <w:rFonts w:ascii="Palatino Linotype" w:hAnsi="Palatino Linotype"/>
          <w:i/>
          <w:sz w:val="22"/>
          <w:szCs w:val="22"/>
        </w:rPr>
        <w:t xml:space="preserve"> tendrán las siguientes </w:t>
      </w:r>
      <w:r w:rsidRPr="00681CB2">
        <w:rPr>
          <w:rFonts w:ascii="Palatino Linotype" w:hAnsi="Palatino Linotype"/>
          <w:b/>
          <w:i/>
          <w:sz w:val="22"/>
          <w:szCs w:val="22"/>
        </w:rPr>
        <w:t>atribuciones</w:t>
      </w:r>
      <w:r w:rsidRPr="00681CB2">
        <w:rPr>
          <w:rFonts w:ascii="Palatino Linotype" w:hAnsi="Palatino Linotype"/>
          <w:i/>
          <w:sz w:val="22"/>
          <w:szCs w:val="22"/>
        </w:rPr>
        <w:t>:</w:t>
      </w:r>
    </w:p>
    <w:p w14:paraId="500887A0"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 xml:space="preserve">II. </w:t>
      </w:r>
      <w:r w:rsidRPr="00681CB2">
        <w:rPr>
          <w:rFonts w:ascii="Palatino Linotype" w:hAnsi="Palatino Linotype"/>
          <w:b/>
          <w:i/>
          <w:sz w:val="22"/>
          <w:szCs w:val="22"/>
        </w:rPr>
        <w:t>Confirmar, modificar o revocar las determinaciones que en materia de</w:t>
      </w:r>
      <w:r w:rsidRPr="00681CB2">
        <w:rPr>
          <w:rFonts w:ascii="Palatino Linotype" w:hAnsi="Palatino Linotype"/>
          <w:i/>
          <w:sz w:val="22"/>
          <w:szCs w:val="22"/>
        </w:rPr>
        <w:t xml:space="preserve"> ampliación del plazo de respuesta, clasificación de la información y </w:t>
      </w:r>
      <w:r w:rsidRPr="00681CB2">
        <w:rPr>
          <w:rFonts w:ascii="Palatino Linotype" w:hAnsi="Palatino Linotype"/>
          <w:b/>
          <w:i/>
          <w:sz w:val="22"/>
          <w:szCs w:val="22"/>
        </w:rPr>
        <w:t>declaración de inexistencia</w:t>
      </w:r>
      <w:r w:rsidRPr="00681CB2">
        <w:rPr>
          <w:rFonts w:ascii="Palatino Linotype" w:hAnsi="Palatino Linotype"/>
          <w:i/>
          <w:sz w:val="22"/>
          <w:szCs w:val="22"/>
        </w:rPr>
        <w:t xml:space="preserve"> o de incompetencia realicen los titulares de las áreas de los sujetos obligados;</w:t>
      </w:r>
    </w:p>
    <w:p w14:paraId="7247DDD6"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 xml:space="preserve">XIII. </w:t>
      </w:r>
      <w:r w:rsidRPr="00681CB2">
        <w:rPr>
          <w:rFonts w:ascii="Palatino Linotype" w:hAnsi="Palatino Linotype"/>
          <w:b/>
          <w:i/>
          <w:sz w:val="22"/>
          <w:szCs w:val="22"/>
        </w:rPr>
        <w:t>Dictaminar las declaratorias de inexistencia de la información</w:t>
      </w:r>
      <w:r w:rsidRPr="00681CB2">
        <w:rPr>
          <w:rFonts w:ascii="Palatino Linotype" w:hAnsi="Palatino Linotype"/>
          <w:i/>
          <w:sz w:val="22"/>
          <w:szCs w:val="22"/>
        </w:rPr>
        <w:t xml:space="preserve"> que les remitan las unidades administrativas y resolver en consecuencia…”</w:t>
      </w:r>
    </w:p>
    <w:p w14:paraId="4A165D58"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w:t>
      </w:r>
      <w:r w:rsidRPr="00681CB2">
        <w:rPr>
          <w:rFonts w:ascii="Palatino Linotype" w:hAnsi="Palatino Linotype"/>
          <w:b/>
          <w:i/>
          <w:sz w:val="22"/>
          <w:szCs w:val="22"/>
        </w:rPr>
        <w:t>Artículo 169</w:t>
      </w:r>
      <w:r w:rsidRPr="00681CB2">
        <w:rPr>
          <w:rFonts w:ascii="Palatino Linotype" w:hAnsi="Palatino Linotype"/>
          <w:i/>
          <w:sz w:val="22"/>
          <w:szCs w:val="22"/>
        </w:rPr>
        <w:t xml:space="preserve">. </w:t>
      </w:r>
      <w:r w:rsidRPr="00681CB2">
        <w:rPr>
          <w:rFonts w:ascii="Palatino Linotype" w:hAnsi="Palatino Linotype"/>
          <w:b/>
          <w:i/>
          <w:sz w:val="22"/>
          <w:szCs w:val="22"/>
        </w:rPr>
        <w:t>Cuando la información no se encuentre en los archivos del sujeto obligado, el Comité de Transparencia</w:t>
      </w:r>
      <w:r w:rsidRPr="00681CB2">
        <w:rPr>
          <w:rFonts w:ascii="Palatino Linotype" w:hAnsi="Palatino Linotype"/>
          <w:i/>
          <w:sz w:val="22"/>
          <w:szCs w:val="22"/>
        </w:rPr>
        <w:t xml:space="preserve">: </w:t>
      </w:r>
    </w:p>
    <w:p w14:paraId="5707C385"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lastRenderedPageBreak/>
        <w:t xml:space="preserve">I. Analizará el caso y tomará las medidas necesarias para localizar la información; </w:t>
      </w:r>
    </w:p>
    <w:p w14:paraId="5FE4BB40"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 xml:space="preserve">II. </w:t>
      </w:r>
      <w:r w:rsidRPr="00681CB2">
        <w:rPr>
          <w:rFonts w:ascii="Palatino Linotype" w:hAnsi="Palatino Linotype"/>
          <w:b/>
          <w:i/>
          <w:sz w:val="22"/>
          <w:szCs w:val="22"/>
        </w:rPr>
        <w:t>Expedirá una resolución que confirme la inexistencia del documento</w:t>
      </w:r>
      <w:r w:rsidRPr="00681CB2">
        <w:rPr>
          <w:rFonts w:ascii="Palatino Linotype" w:hAnsi="Palatino Linotype"/>
          <w:i/>
          <w:sz w:val="22"/>
          <w:szCs w:val="22"/>
        </w:rPr>
        <w:t xml:space="preserve">; </w:t>
      </w:r>
    </w:p>
    <w:p w14:paraId="64F082B4"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79D32847"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 xml:space="preserve">IV. Notificará al órgano interno de control o equivalente del sujeto obligado quien, en su caso, deberá iniciar el procedimiento de responsabilidad administrativa que corresponda. </w:t>
      </w:r>
    </w:p>
    <w:p w14:paraId="34BD136B"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549ED1CD"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Este plazo podrá ampliarse hasta por otros siete días hábiles, siempre que existan razones para ello, debiendo notificarse por escrito al solicitante.”</w:t>
      </w:r>
    </w:p>
    <w:p w14:paraId="6BE38ED2"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w:t>
      </w:r>
      <w:r w:rsidRPr="00681CB2">
        <w:rPr>
          <w:rFonts w:ascii="Palatino Linotype" w:hAnsi="Palatino Linotype"/>
          <w:b/>
          <w:i/>
          <w:sz w:val="22"/>
          <w:szCs w:val="22"/>
        </w:rPr>
        <w:t>Artículo 170.</w:t>
      </w:r>
      <w:r w:rsidRPr="00681CB2">
        <w:rPr>
          <w:rFonts w:ascii="Palatino Linotype" w:hAnsi="Palatino Linotype"/>
          <w:i/>
          <w:sz w:val="22"/>
          <w:szCs w:val="22"/>
        </w:rPr>
        <w:t xml:space="preserve"> </w:t>
      </w:r>
      <w:r w:rsidRPr="00681CB2">
        <w:rPr>
          <w:rFonts w:ascii="Palatino Linotype" w:hAnsi="Palatino Linotype"/>
          <w:b/>
          <w:i/>
          <w:sz w:val="22"/>
          <w:szCs w:val="22"/>
        </w:rPr>
        <w:t>La resolución del Comité de Transparencia que confirme la inexistencia de la información solicitada contendrá los elementos mínimos</w:t>
      </w:r>
      <w:r w:rsidRPr="00681CB2">
        <w:rPr>
          <w:rFonts w:ascii="Palatino Linotype" w:hAnsi="Palatino Linotype"/>
          <w:i/>
          <w:sz w:val="22"/>
          <w:szCs w:val="22"/>
        </w:rPr>
        <w:t xml:space="preserve"> </w:t>
      </w:r>
      <w:r w:rsidRPr="00681CB2">
        <w:rPr>
          <w:rFonts w:ascii="Palatino Linotype" w:hAnsi="Palatino Linotype"/>
          <w:b/>
          <w:i/>
          <w:sz w:val="22"/>
          <w:szCs w:val="22"/>
        </w:rPr>
        <w:t>que permitan al solicitante tener la certeza de que se utilizó un criterio de búsqueda exhaustivo</w:t>
      </w:r>
      <w:r w:rsidRPr="00681CB2">
        <w:rPr>
          <w:rFonts w:ascii="Palatino Linotype" w:hAnsi="Palatino Linotype"/>
          <w:i/>
          <w:sz w:val="22"/>
          <w:szCs w:val="22"/>
        </w:rPr>
        <w:t>, además de señalar las circunstancias de tiempo, modo y lugar que generaron la existencia en cuestión y señalará al servidor público responsable de contar con la misma.”</w:t>
      </w:r>
    </w:p>
    <w:p w14:paraId="13EAF6F8" w14:textId="77777777" w:rsidR="000B65CF" w:rsidRPr="00681CB2" w:rsidRDefault="000B65CF" w:rsidP="000B65CF">
      <w:pPr>
        <w:spacing w:before="240" w:after="240" w:line="360" w:lineRule="auto"/>
        <w:jc w:val="both"/>
        <w:rPr>
          <w:rFonts w:ascii="Palatino Linotype" w:hAnsi="Palatino Linotype"/>
        </w:rPr>
      </w:pPr>
      <w:r w:rsidRPr="00681CB2">
        <w:rPr>
          <w:rFonts w:ascii="Palatino Linotype" w:hAnsi="Palatino Linotype"/>
        </w:rPr>
        <w:t xml:space="preserve">Dicho de otro modo, en el caso de que derivado de la búsqueda exhaustiva de los documentos de los que se pueda desprender la información solicitada, derivado de la antigüedad de la que se requiere, no se localice documento alguno que pueda satisfacer la petición, deberá procederse a la emisión de una resolución que confirme la inexistencia de la información solicitada, ello por parte del Comité de </w:t>
      </w:r>
      <w:r w:rsidRPr="00681CB2">
        <w:rPr>
          <w:rFonts w:ascii="Palatino Linotype" w:hAnsi="Palatino Linotype"/>
        </w:rPr>
        <w:lastRenderedPageBreak/>
        <w:t>Transparencia del Sujeto Obligado,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al recurrente de que aquella fue realizada así como de comprobar la inexistencia de la información.</w:t>
      </w:r>
    </w:p>
    <w:p w14:paraId="38113221" w14:textId="77777777" w:rsidR="000B65CF" w:rsidRPr="00681CB2" w:rsidRDefault="000B65CF" w:rsidP="000B65CF">
      <w:pPr>
        <w:spacing w:before="240" w:after="240" w:line="360" w:lineRule="auto"/>
        <w:jc w:val="both"/>
        <w:rPr>
          <w:rFonts w:ascii="Palatino Linotype" w:hAnsi="Palatino Linotype"/>
        </w:rPr>
      </w:pPr>
      <w:r w:rsidRPr="00681CB2">
        <w:rPr>
          <w:rFonts w:ascii="Palatino Linotype" w:hAnsi="Palatino Linotype"/>
        </w:rPr>
        <w:t xml:space="preserve">Para lo anterior no debe perderse de vista lo que señalan los artículos 4, fracciones II y III; 7, 10, 11, 16 y 18 de los Lineamientos </w:t>
      </w:r>
      <w:r w:rsidRPr="00681CB2">
        <w:rPr>
          <w:rFonts w:ascii="Palatino Linotype" w:hAnsi="Palatino Linotype" w:cs="Arial"/>
        </w:rPr>
        <w:t>para la valoración, selección y baja de los documentos, expedientes y series de trámite concluido en los archivos del Estado de México, los cuales son aplicables a los municipios conforme a lo que señala su artículo 1; a saber:</w:t>
      </w:r>
    </w:p>
    <w:p w14:paraId="06BCF203"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w:t>
      </w:r>
      <w:r w:rsidRPr="00681CB2">
        <w:rPr>
          <w:rFonts w:ascii="Palatino Linotype" w:hAnsi="Palatino Linotype"/>
          <w:b/>
          <w:i/>
          <w:sz w:val="22"/>
          <w:szCs w:val="22"/>
        </w:rPr>
        <w:t>Artículo 1</w:t>
      </w:r>
      <w:r w:rsidRPr="00681CB2">
        <w:rPr>
          <w:rFonts w:ascii="Palatino Linotype" w:hAnsi="Palatino Linotype"/>
          <w:i/>
          <w:sz w:val="22"/>
          <w:szCs w:val="22"/>
        </w:rPr>
        <w:t xml:space="preserve">. Los Lineamientos tienen como finalidad establecer las políticas y los criterios generales para realizar la valoración, selección y baja de los documentos, expedientes y series de trámite concluido en los archivos de las Unidades Administrativas de los Poderes del Estado de México y </w:t>
      </w:r>
      <w:r w:rsidRPr="00681CB2">
        <w:rPr>
          <w:rFonts w:ascii="Palatino Linotype" w:hAnsi="Palatino Linotype"/>
          <w:b/>
          <w:i/>
          <w:sz w:val="22"/>
          <w:szCs w:val="22"/>
          <w:u w:val="single"/>
        </w:rPr>
        <w:t>sus Municipios</w:t>
      </w:r>
      <w:r w:rsidRPr="00681CB2">
        <w:rPr>
          <w:rFonts w:ascii="Palatino Linotype" w:hAnsi="Palatino Linotype"/>
          <w:i/>
          <w:sz w:val="22"/>
          <w:szCs w:val="22"/>
        </w:rPr>
        <w:t>, con el propósito de contribuir a la adecuada administración y conservación de patrimonio documental estatal.</w:t>
      </w:r>
    </w:p>
    <w:p w14:paraId="199CFE49"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w:t>
      </w:r>
      <w:r w:rsidRPr="00681CB2">
        <w:rPr>
          <w:rFonts w:ascii="Palatino Linotype" w:hAnsi="Palatino Linotype"/>
          <w:b/>
          <w:i/>
          <w:sz w:val="22"/>
          <w:szCs w:val="22"/>
        </w:rPr>
        <w:t>Artículo 4.-</w:t>
      </w:r>
      <w:r w:rsidRPr="00681CB2">
        <w:rPr>
          <w:rFonts w:ascii="Palatino Linotype" w:hAnsi="Palatino Linotype"/>
          <w:i/>
          <w:sz w:val="22"/>
          <w:szCs w:val="22"/>
        </w:rPr>
        <w:t xml:space="preserve"> Para los efectos de interpretación y aplicación de los Lineamientos se entenderá por:</w:t>
      </w:r>
    </w:p>
    <w:p w14:paraId="36D3FBE7"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b/>
          <w:i/>
          <w:sz w:val="22"/>
          <w:szCs w:val="22"/>
        </w:rPr>
        <w:t>II. Acta de Baja</w:t>
      </w:r>
      <w:r w:rsidRPr="00681CB2">
        <w:rPr>
          <w:rFonts w:ascii="Palatino Linotype" w:hAnsi="Palatino Linotype"/>
          <w:i/>
          <w:sz w:val="22"/>
          <w:szCs w:val="22"/>
        </w:rPr>
        <w:t xml:space="preserve">: </w:t>
      </w:r>
      <w:r w:rsidRPr="00681CB2">
        <w:rPr>
          <w:rFonts w:ascii="Palatino Linotype" w:hAnsi="Palatino Linotype"/>
          <w:b/>
          <w:i/>
          <w:sz w:val="22"/>
          <w:szCs w:val="22"/>
        </w:rPr>
        <w:t>Acta de Baja Documental</w:t>
      </w:r>
      <w:r w:rsidRPr="00681CB2">
        <w:rPr>
          <w:rFonts w:ascii="Palatino Linotype" w:hAnsi="Palatino Linotype"/>
          <w:i/>
          <w:sz w:val="22"/>
          <w:szCs w:val="22"/>
        </w:rPr>
        <w:t xml:space="preserve">.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 </w:t>
      </w:r>
    </w:p>
    <w:p w14:paraId="7D73AE65"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b/>
          <w:i/>
          <w:sz w:val="22"/>
          <w:szCs w:val="22"/>
        </w:rPr>
        <w:lastRenderedPageBreak/>
        <w:t>III. Acuerdo</w:t>
      </w:r>
      <w:r w:rsidRPr="00681CB2">
        <w:rPr>
          <w:rFonts w:ascii="Palatino Linotype" w:hAnsi="Palatino Linotype"/>
          <w:i/>
          <w:sz w:val="22"/>
          <w:szCs w:val="22"/>
        </w:rPr>
        <w:t xml:space="preserve">: </w:t>
      </w:r>
      <w:r w:rsidRPr="00681CB2">
        <w:rPr>
          <w:rFonts w:ascii="Palatino Linotype" w:hAnsi="Palatino Linotype"/>
          <w:b/>
          <w:i/>
          <w:sz w:val="22"/>
          <w:szCs w:val="22"/>
        </w:rPr>
        <w:t>Acuerdo de Autorización de Baja Documental</w:t>
      </w:r>
      <w:r w:rsidRPr="00681CB2">
        <w:rPr>
          <w:rFonts w:ascii="Palatino Linotype" w:hAnsi="Palatino Linotype"/>
          <w:i/>
          <w:sz w:val="22"/>
          <w:szCs w:val="22"/>
        </w:rPr>
        <w:t xml:space="preserve">. Documento a través del cual la Comisión Dictaminadora de Depuración de Documentos autoriza la baja de los documentos de trámite concluido cuyo período de conservación </w:t>
      </w:r>
      <w:proofErr w:type="spellStart"/>
      <w:r w:rsidRPr="00681CB2">
        <w:rPr>
          <w:rFonts w:ascii="Palatino Linotype" w:hAnsi="Palatino Linotype"/>
          <w:i/>
          <w:sz w:val="22"/>
          <w:szCs w:val="22"/>
        </w:rPr>
        <w:t>precaucional</w:t>
      </w:r>
      <w:proofErr w:type="spellEnd"/>
      <w:r w:rsidRPr="00681CB2">
        <w:rPr>
          <w:rFonts w:ascii="Palatino Linotype" w:hAnsi="Palatino Linotype"/>
          <w:i/>
          <w:sz w:val="22"/>
          <w:szCs w:val="22"/>
        </w:rPr>
        <w:t xml:space="preserve"> ya prescribió en los Archivos de Concentración y que son resultantes del proceso de selección final…”</w:t>
      </w:r>
    </w:p>
    <w:p w14:paraId="59F664F5"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b/>
          <w:i/>
          <w:sz w:val="22"/>
          <w:szCs w:val="22"/>
        </w:rPr>
        <w:t>“Artículo 7.-</w:t>
      </w:r>
      <w:r w:rsidRPr="00681CB2">
        <w:rPr>
          <w:rFonts w:ascii="Palatino Linotype" w:hAnsi="Palatino Linotype"/>
          <w:i/>
          <w:sz w:val="22"/>
          <w:szCs w:val="22"/>
        </w:rPr>
        <w:t xml:space="preserve"> </w:t>
      </w:r>
      <w:r w:rsidRPr="00681CB2">
        <w:rPr>
          <w:rFonts w:ascii="Palatino Linotype" w:hAnsi="Palatino Linotype"/>
          <w:b/>
          <w:i/>
          <w:sz w:val="22"/>
          <w:szCs w:val="22"/>
        </w:rPr>
        <w:t>Ningún documento podrá ser destruido, excepto aquellos autorizados por la Comisión mediante el procedimiento correspondiente</w:t>
      </w:r>
      <w:r w:rsidRPr="00681CB2">
        <w:rPr>
          <w:rFonts w:ascii="Palatino Linotype" w:hAnsi="Palatino Linotype"/>
          <w:i/>
          <w:sz w:val="22"/>
          <w:szCs w:val="22"/>
        </w:rPr>
        <w:t xml:space="preserve">, en términos de la Ley de Documentos, de los Lineamientos y de la Normatividad expedida en la materia.” </w:t>
      </w:r>
    </w:p>
    <w:p w14:paraId="5C8BE60A"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w:t>
      </w:r>
      <w:r w:rsidRPr="00681CB2">
        <w:rPr>
          <w:rFonts w:ascii="Palatino Linotype" w:hAnsi="Palatino Linotype"/>
          <w:b/>
          <w:i/>
          <w:sz w:val="22"/>
          <w:szCs w:val="22"/>
        </w:rPr>
        <w:t>Artículo 10.- Los titulares de las Unidades Administrativas y de los Archivos deberán de llevar un registro de los tipos documentales, expedientes o series de sus archivos que hayan sido dictaminados por la Comisión, así como de aquellos que les hayan sido autorizados para su baja definitiva.</w:t>
      </w:r>
      <w:r w:rsidRPr="00681CB2">
        <w:rPr>
          <w:rFonts w:ascii="Palatino Linotype" w:hAnsi="Palatino Linotype"/>
          <w:i/>
          <w:sz w:val="22"/>
          <w:szCs w:val="22"/>
        </w:rPr>
        <w:t xml:space="preserve"> Los expedientes que se formen al respecto deberán de conservarse permanentemente en el Archivo de Trámite correspondiente.”</w:t>
      </w:r>
    </w:p>
    <w:p w14:paraId="7E050211"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w:t>
      </w:r>
      <w:r w:rsidRPr="00681CB2">
        <w:rPr>
          <w:rFonts w:ascii="Palatino Linotype" w:hAnsi="Palatino Linotype"/>
          <w:b/>
          <w:i/>
          <w:sz w:val="22"/>
          <w:szCs w:val="22"/>
        </w:rPr>
        <w:t>Artículo 11.-</w:t>
      </w:r>
      <w:r w:rsidRPr="00681CB2">
        <w:rPr>
          <w:rFonts w:ascii="Palatino Linotype" w:hAnsi="Palatino Linotype"/>
          <w:i/>
          <w:sz w:val="22"/>
          <w:szCs w:val="22"/>
        </w:rPr>
        <w:t xml:space="preserve"> </w:t>
      </w:r>
      <w:r w:rsidRPr="00681CB2">
        <w:rPr>
          <w:rFonts w:ascii="Palatino Linotype" w:hAnsi="Palatino Linotype"/>
          <w:b/>
          <w:i/>
          <w:sz w:val="22"/>
          <w:szCs w:val="22"/>
        </w:rPr>
        <w:t>Los expedientes que se generen con las solicitudes de valoración y de baja documental, realizadas por las Unidades Administrativas y los Archivos, serán de conservación permanente</w:t>
      </w:r>
      <w:r w:rsidRPr="00681CB2">
        <w:rPr>
          <w:rFonts w:ascii="Palatino Linotype" w:hAnsi="Palatino Linotype"/>
          <w:i/>
          <w:sz w:val="22"/>
          <w:szCs w:val="22"/>
        </w:rPr>
        <w:t>.”</w:t>
      </w:r>
    </w:p>
    <w:p w14:paraId="212D50B8"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w:t>
      </w:r>
      <w:r w:rsidRPr="00681CB2">
        <w:rPr>
          <w:rFonts w:ascii="Palatino Linotype" w:hAnsi="Palatino Linotype"/>
          <w:b/>
          <w:i/>
          <w:sz w:val="22"/>
          <w:szCs w:val="22"/>
        </w:rPr>
        <w:t>Artículo 16.-</w:t>
      </w:r>
      <w:r w:rsidRPr="00681CB2">
        <w:rPr>
          <w:rFonts w:ascii="Palatino Linotype" w:hAnsi="Palatino Linotype"/>
          <w:i/>
          <w:sz w:val="22"/>
          <w:szCs w:val="22"/>
        </w:rPr>
        <w:t xml:space="preserve"> </w:t>
      </w:r>
      <w:r w:rsidRPr="00681CB2">
        <w:rPr>
          <w:rFonts w:ascii="Palatino Linotype" w:hAnsi="Palatino Linotype"/>
          <w:b/>
          <w:i/>
          <w:sz w:val="22"/>
          <w:szCs w:val="22"/>
        </w:rPr>
        <w:t>Las Unidades Administrativas sólo podrán proceder a la baja de los documentos existentes en sus archivos, conforme a los Lineamientos y a las disposiciones legales, administrativas y técnicas vigentes</w:t>
      </w:r>
      <w:r w:rsidRPr="00681CB2">
        <w:rPr>
          <w:rFonts w:ascii="Palatino Linotype" w:hAnsi="Palatino Linotype"/>
          <w:i/>
          <w:sz w:val="22"/>
          <w:szCs w:val="22"/>
        </w:rPr>
        <w:t>.”</w:t>
      </w:r>
    </w:p>
    <w:p w14:paraId="627E7723" w14:textId="77777777" w:rsidR="000B65CF" w:rsidRPr="00681CB2" w:rsidRDefault="000B65CF" w:rsidP="000B65CF">
      <w:pPr>
        <w:spacing w:before="240" w:after="240"/>
        <w:ind w:left="851" w:right="900"/>
        <w:jc w:val="both"/>
        <w:rPr>
          <w:rFonts w:ascii="Palatino Linotype" w:hAnsi="Palatino Linotype"/>
          <w:i/>
          <w:sz w:val="22"/>
          <w:szCs w:val="22"/>
        </w:rPr>
      </w:pPr>
      <w:r w:rsidRPr="00681CB2">
        <w:rPr>
          <w:rFonts w:ascii="Palatino Linotype" w:hAnsi="Palatino Linotype"/>
          <w:i/>
          <w:sz w:val="22"/>
          <w:szCs w:val="22"/>
        </w:rPr>
        <w:t>“</w:t>
      </w:r>
      <w:r w:rsidRPr="00681CB2">
        <w:rPr>
          <w:rFonts w:ascii="Palatino Linotype" w:hAnsi="Palatino Linotype"/>
          <w:b/>
          <w:i/>
          <w:sz w:val="22"/>
          <w:szCs w:val="22"/>
        </w:rPr>
        <w:t>Artículo 18.-</w:t>
      </w:r>
      <w:r w:rsidRPr="00681CB2">
        <w:rPr>
          <w:rFonts w:ascii="Palatino Linotype" w:hAnsi="Palatino Linotype"/>
          <w:i/>
          <w:sz w:val="22"/>
          <w:szCs w:val="22"/>
        </w:rPr>
        <w:t xml:space="preserve"> </w:t>
      </w:r>
      <w:r w:rsidRPr="00681CB2">
        <w:rPr>
          <w:rFonts w:ascii="Palatino Linotype" w:hAnsi="Palatino Linotype"/>
          <w:b/>
          <w:i/>
          <w:sz w:val="22"/>
          <w:szCs w:val="22"/>
        </w:rPr>
        <w:t>Las Unidades Administrativas deberán elaborar un Acta Administrativa que de constancia de haberse destruido los documentos</w:t>
      </w:r>
      <w:r w:rsidRPr="00681CB2">
        <w:rPr>
          <w:rFonts w:ascii="Palatino Linotype" w:hAnsi="Palatino Linotype"/>
          <w:i/>
          <w:sz w:val="22"/>
          <w:szCs w:val="22"/>
        </w:rPr>
        <w:t xml:space="preserve">, turnando una copia a la Comisión con el objeto de dar por concluido el trámite. </w:t>
      </w:r>
    </w:p>
    <w:p w14:paraId="28AD60D1" w14:textId="77777777" w:rsidR="000B65CF" w:rsidRPr="00681CB2" w:rsidRDefault="000B65CF" w:rsidP="000B65CF">
      <w:pPr>
        <w:spacing w:before="240" w:after="240"/>
        <w:ind w:left="851" w:right="900"/>
        <w:jc w:val="both"/>
        <w:rPr>
          <w:rFonts w:ascii="Palatino Linotype" w:hAnsi="Palatino Linotype"/>
        </w:rPr>
      </w:pPr>
      <w:r w:rsidRPr="00681CB2">
        <w:rPr>
          <w:rFonts w:ascii="Palatino Linotype" w:hAnsi="Palatino Linotype"/>
          <w:i/>
          <w:sz w:val="22"/>
          <w:szCs w:val="22"/>
        </w:rPr>
        <w:t>La Comisión no iniciará ningún trámite relacionado con la selección documental, a aquellas Unidades Administrativas que tengan pendiente la destrucción de los documentos autorizados con anterioridad.”</w:t>
      </w:r>
    </w:p>
    <w:p w14:paraId="0F4F927D" w14:textId="1E68095F" w:rsidR="000B65CF" w:rsidRPr="00681CB2" w:rsidRDefault="000B65CF" w:rsidP="000B65CF">
      <w:pPr>
        <w:spacing w:before="240" w:after="240" w:line="360" w:lineRule="auto"/>
        <w:jc w:val="both"/>
        <w:rPr>
          <w:rFonts w:ascii="Palatino Linotype" w:hAnsi="Palatino Linotype" w:cs="Arial"/>
        </w:rPr>
      </w:pPr>
      <w:r w:rsidRPr="00681CB2">
        <w:rPr>
          <w:rFonts w:ascii="Palatino Linotype" w:hAnsi="Palatino Linotype"/>
        </w:rPr>
        <w:lastRenderedPageBreak/>
        <w:t>De tales artículos, se denota que la destrucción de los documentos queda demostrada con los trámites y documentos que se deben generar con motivo de la misma determinación de baja o de destrucción, como lo son el acta de baja documental, el acuerdo de autorización de baja documental, siendo que las unidades administrativas deberán llevar un registro de los expedientes que hayan sido autorizados para su baja, cuya conservación es permanente, sobre la obligación de que para proceder a la destrucción o baja de los documentos debe ser autorizado por la Comisión Dictaminadora de Depuración de Documentos y conforme a la Ley y Lineamientos en materia de Archivos; documentos los anteriores que pueden servir de sustento de la declaratoria de inexistencia que en su caso se tenga que emitir, por parte del Comité de Transparencia.</w:t>
      </w:r>
    </w:p>
    <w:p w14:paraId="21238887" w14:textId="0F2D33E4" w:rsidR="00F35CAD" w:rsidRPr="00681CB2" w:rsidRDefault="00A602B0" w:rsidP="002B1B82">
      <w:pPr>
        <w:spacing w:before="240" w:after="240" w:line="360" w:lineRule="auto"/>
        <w:jc w:val="both"/>
        <w:rPr>
          <w:rFonts w:ascii="Palatino Linotype" w:hAnsi="Palatino Linotype"/>
        </w:rPr>
      </w:pPr>
      <w:r w:rsidRPr="00681CB2">
        <w:rPr>
          <w:rFonts w:ascii="Palatino Linotype" w:hAnsi="Palatino Linotype" w:cs="Arial"/>
        </w:rPr>
        <w:t xml:space="preserve">Ahora bien, por lo que respecta a las información relativa a  </w:t>
      </w:r>
      <w:r w:rsidRPr="00681CB2">
        <w:rPr>
          <w:rFonts w:ascii="Palatino Linotype" w:hAnsi="Palatino Linotype"/>
        </w:rPr>
        <w:t xml:space="preserve">“Grupo ARGOG y asociados, S.A. de C.V.”, “ARGOG S.A de C.V.” o similar, particularmente de los señalados del punto 2 al 5 de la presente resolución, es de recordar que, como fue expresado en el </w:t>
      </w:r>
      <w:r w:rsidR="00581240" w:rsidRPr="00681CB2">
        <w:rPr>
          <w:rFonts w:ascii="Palatino Linotype" w:hAnsi="Palatino Linotype"/>
        </w:rPr>
        <w:t xml:space="preserve">antecedente 6, en fecha diecisiete de septiembre el Sujeto Obligado rindió su informe justificado anexando el oficio OPDM/DAFC/1524/2018, a través del cual la Directora de Administración, Finanzas y Comercialización indicó que se realizó una búsqueda en el departamento de adquisiciones y </w:t>
      </w:r>
      <w:bookmarkStart w:id="0" w:name="_GoBack"/>
      <w:r w:rsidR="00581240" w:rsidRPr="00681CB2">
        <w:rPr>
          <w:rFonts w:ascii="Palatino Linotype" w:hAnsi="Palatino Linotype"/>
        </w:rPr>
        <w:t>no halló</w:t>
      </w:r>
      <w:bookmarkEnd w:id="0"/>
      <w:r w:rsidR="00581240" w:rsidRPr="00681CB2">
        <w:rPr>
          <w:rFonts w:ascii="Palatino Linotype" w:hAnsi="Palatino Linotype"/>
        </w:rPr>
        <w:t xml:space="preserve"> precedente del denominado “Grupo ARGOG y asociados, S.A. de C.V.” o “ARGOG, S.A. de C.V”</w:t>
      </w:r>
      <w:r w:rsidR="00CA1E20" w:rsidRPr="00681CB2">
        <w:rPr>
          <w:rFonts w:ascii="Palatino Linotype" w:hAnsi="Palatino Linotype"/>
        </w:rPr>
        <w:t>, motivo por el cual fue puesto a la vista del particular sin que realizara manifestaciones o alegatos.</w:t>
      </w:r>
    </w:p>
    <w:p w14:paraId="0A2F10F6" w14:textId="74E95FF8" w:rsidR="00C86EB3" w:rsidRPr="00681CB2" w:rsidRDefault="00976E68" w:rsidP="002B1B82">
      <w:pPr>
        <w:spacing w:before="240" w:after="240" w:line="360" w:lineRule="auto"/>
        <w:jc w:val="both"/>
        <w:rPr>
          <w:rFonts w:ascii="Palatino Linotype" w:hAnsi="Palatino Linotype"/>
        </w:rPr>
      </w:pPr>
      <w:r w:rsidRPr="00681CB2">
        <w:rPr>
          <w:rFonts w:ascii="Palatino Linotype" w:hAnsi="Palatino Linotype"/>
        </w:rPr>
        <w:lastRenderedPageBreak/>
        <w:t>En ese sentido,</w:t>
      </w:r>
      <w:r w:rsidR="00C86EB3" w:rsidRPr="00681CB2">
        <w:rPr>
          <w:rFonts w:ascii="Palatino Linotype" w:hAnsi="Palatino Linotype"/>
        </w:rPr>
        <w:t xml:space="preserve"> recordando las atribuciones y estructura orgánica con la que cuenta dicha Dirección, se estima que tiene las facultades para pronunciarse respecto de la información requerida</w:t>
      </w:r>
      <w:r w:rsidR="00365495" w:rsidRPr="00681CB2">
        <w:rPr>
          <w:rFonts w:ascii="Palatino Linotype" w:hAnsi="Palatino Linotype"/>
        </w:rPr>
        <w:t>;</w:t>
      </w:r>
      <w:r w:rsidR="00C86EB3" w:rsidRPr="00681CB2">
        <w:rPr>
          <w:rFonts w:ascii="Palatino Linotype" w:hAnsi="Palatino Linotype"/>
        </w:rPr>
        <w:t xml:space="preserve"> sin embargo, ello no puede satisfacer </w:t>
      </w:r>
      <w:r w:rsidR="00365495" w:rsidRPr="00681CB2">
        <w:rPr>
          <w:rFonts w:ascii="Palatino Linotype" w:hAnsi="Palatino Linotype"/>
        </w:rPr>
        <w:t xml:space="preserve">cabalmente el derecho humano de acceso a la información pública de la parte recurrente, ya que </w:t>
      </w:r>
      <w:r w:rsidRPr="00681CB2">
        <w:rPr>
          <w:rFonts w:ascii="Palatino Linotype" w:hAnsi="Palatino Linotype"/>
        </w:rPr>
        <w:t>tal cual ha sido mencionado con anterioridad el Organismo Descentralizado cuenta con otras áreas que pudieran ser competentes para buscar entre sus archivos la información.</w:t>
      </w:r>
    </w:p>
    <w:p w14:paraId="5993D677" w14:textId="7694B288" w:rsidR="0048617A" w:rsidRPr="00681CB2" w:rsidRDefault="00976E68" w:rsidP="00984082">
      <w:pPr>
        <w:spacing w:before="240" w:after="240" w:line="360" w:lineRule="auto"/>
        <w:jc w:val="both"/>
        <w:rPr>
          <w:rFonts w:ascii="Palatino Linotype" w:hAnsi="Palatino Linotype" w:cs="Arial"/>
        </w:rPr>
      </w:pPr>
      <w:r w:rsidRPr="00681CB2">
        <w:rPr>
          <w:rFonts w:ascii="Palatino Linotype" w:hAnsi="Palatino Linotype" w:cs="Arial"/>
        </w:rPr>
        <w:t>Lo anterior se estima así, ya que en el Reglamento Interno del Sujeto Obligado, se indica la existencia de la Dirección de Construcción y Operación Hidráulica</w:t>
      </w:r>
      <w:r w:rsidR="00984082" w:rsidRPr="00681CB2">
        <w:rPr>
          <w:rFonts w:ascii="Palatino Linotype" w:hAnsi="Palatino Linotype" w:cs="Arial"/>
        </w:rPr>
        <w:t xml:space="preserve"> y su Subdirección de Construcción</w:t>
      </w:r>
      <w:r w:rsidRPr="00681CB2">
        <w:rPr>
          <w:rFonts w:ascii="Palatino Linotype" w:hAnsi="Palatino Linotype" w:cs="Arial"/>
        </w:rPr>
        <w:t>, a la</w:t>
      </w:r>
      <w:r w:rsidR="00984082" w:rsidRPr="00681CB2">
        <w:rPr>
          <w:rFonts w:ascii="Palatino Linotype" w:hAnsi="Palatino Linotype" w:cs="Arial"/>
        </w:rPr>
        <w:t>s</w:t>
      </w:r>
      <w:r w:rsidRPr="00681CB2">
        <w:rPr>
          <w:rFonts w:ascii="Palatino Linotype" w:hAnsi="Palatino Linotype" w:cs="Arial"/>
        </w:rPr>
        <w:t xml:space="preserve"> que se le encomiendan las siguientes atribuciones:</w:t>
      </w:r>
    </w:p>
    <w:p w14:paraId="2E90314C" w14:textId="77777777" w:rsidR="00791C37" w:rsidRPr="00681CB2" w:rsidRDefault="0048617A" w:rsidP="00791C37">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
          <w:i/>
          <w:iCs/>
          <w:sz w:val="22"/>
          <w:szCs w:val="22"/>
        </w:rPr>
        <w:t>Artículo 51.-</w:t>
      </w:r>
      <w:r w:rsidRPr="00681CB2">
        <w:rPr>
          <w:rStyle w:val="normaltextrun"/>
          <w:rFonts w:ascii="Palatino Linotype" w:hAnsi="Palatino Linotype" w:cs="Segoe UI"/>
          <w:i/>
          <w:iCs/>
          <w:sz w:val="22"/>
          <w:szCs w:val="22"/>
        </w:rPr>
        <w:t xml:space="preserve"> </w:t>
      </w:r>
      <w:r w:rsidRPr="00681CB2">
        <w:rPr>
          <w:rStyle w:val="normaltextrun"/>
          <w:rFonts w:ascii="Palatino Linotype" w:hAnsi="Palatino Linotype" w:cs="Segoe UI"/>
          <w:bCs/>
          <w:i/>
          <w:iCs/>
          <w:sz w:val="22"/>
          <w:szCs w:val="22"/>
        </w:rPr>
        <w:t>La Dirección de Construcción y Operación Hidráulica</w:t>
      </w:r>
      <w:r w:rsidRPr="00681CB2">
        <w:rPr>
          <w:rStyle w:val="normaltextrun"/>
          <w:rFonts w:ascii="Palatino Linotype" w:hAnsi="Palatino Linotype" w:cs="Segoe UI"/>
          <w:i/>
          <w:iCs/>
          <w:sz w:val="22"/>
          <w:szCs w:val="22"/>
        </w:rPr>
        <w:t xml:space="preserve">, </w:t>
      </w:r>
      <w:r w:rsidRPr="00681CB2">
        <w:rPr>
          <w:rStyle w:val="normaltextrun"/>
          <w:rFonts w:ascii="Palatino Linotype" w:hAnsi="Palatino Linotype" w:cs="Segoe UI"/>
          <w:bCs/>
          <w:i/>
          <w:iCs/>
          <w:sz w:val="22"/>
          <w:szCs w:val="22"/>
        </w:rPr>
        <w:t>tendrá a su cargo las siguientes atribuciones:</w:t>
      </w:r>
    </w:p>
    <w:p w14:paraId="1CA51170" w14:textId="6D0BB50D" w:rsidR="00B67F97" w:rsidRPr="00681CB2" w:rsidRDefault="00791C37" w:rsidP="00791C37">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
          <w:i/>
          <w:iCs/>
          <w:sz w:val="22"/>
          <w:szCs w:val="22"/>
        </w:rPr>
        <w:t>…</w:t>
      </w:r>
      <w:r w:rsidR="0048617A" w:rsidRPr="00681CB2">
        <w:rPr>
          <w:rStyle w:val="normaltextrun"/>
          <w:rFonts w:ascii="Palatino Linotype" w:hAnsi="Palatino Linotype" w:cs="Segoe UI"/>
          <w:bCs/>
          <w:i/>
          <w:iCs/>
          <w:sz w:val="22"/>
          <w:szCs w:val="22"/>
        </w:rPr>
        <w:t xml:space="preserve"> </w:t>
      </w:r>
    </w:p>
    <w:p w14:paraId="0B8E03B4" w14:textId="50023AD2" w:rsidR="00B67F97" w:rsidRPr="00681CB2" w:rsidRDefault="00B67F97" w:rsidP="00791C37">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i/>
          <w:iCs/>
          <w:sz w:val="22"/>
          <w:szCs w:val="22"/>
        </w:rPr>
        <w:t xml:space="preserve">IV. </w:t>
      </w:r>
      <w:r w:rsidRPr="00681CB2">
        <w:rPr>
          <w:rStyle w:val="normaltextrun"/>
          <w:rFonts w:ascii="Palatino Linotype" w:hAnsi="Palatino Linotype" w:cs="Segoe UI"/>
          <w:bCs/>
          <w:i/>
          <w:iCs/>
          <w:sz w:val="22"/>
          <w:szCs w:val="22"/>
        </w:rPr>
        <w:t>Tener bajo su resguardo los Títulos de Concesión otorgados por el Gobierno Federal para el Aprovechamiento de Aguas Nacionales</w:t>
      </w:r>
      <w:r w:rsidR="00791C37" w:rsidRPr="00681CB2">
        <w:rPr>
          <w:rStyle w:val="normaltextrun"/>
          <w:rFonts w:ascii="Palatino Linotype" w:hAnsi="Palatino Linotype" w:cs="Segoe UI"/>
          <w:bCs/>
          <w:i/>
          <w:iCs/>
          <w:sz w:val="22"/>
          <w:szCs w:val="22"/>
        </w:rPr>
        <w:t xml:space="preserve"> Superficiales y del Subsuelo; </w:t>
      </w:r>
    </w:p>
    <w:p w14:paraId="2E2691E8" w14:textId="6CC71487" w:rsidR="00B67F97" w:rsidRPr="00681CB2" w:rsidRDefault="00B67F97" w:rsidP="00791C37">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i/>
          <w:iCs/>
          <w:sz w:val="22"/>
          <w:szCs w:val="22"/>
        </w:rPr>
        <w:t xml:space="preserve">XX. </w:t>
      </w:r>
      <w:r w:rsidRPr="00681CB2">
        <w:rPr>
          <w:rStyle w:val="normaltextrun"/>
          <w:rFonts w:ascii="Palatino Linotype" w:hAnsi="Palatino Linotype" w:cs="Segoe UI"/>
          <w:bCs/>
          <w:i/>
          <w:iCs/>
          <w:sz w:val="22"/>
          <w:szCs w:val="22"/>
        </w:rPr>
        <w:t>Firmar conjuntamente con el Director General, los contratos y convenios de obra pública y los servicios relacionado</w:t>
      </w:r>
      <w:r w:rsidR="00791C37" w:rsidRPr="00681CB2">
        <w:rPr>
          <w:rStyle w:val="normaltextrun"/>
          <w:rFonts w:ascii="Palatino Linotype" w:hAnsi="Palatino Linotype" w:cs="Segoe UI"/>
          <w:bCs/>
          <w:i/>
          <w:iCs/>
          <w:sz w:val="22"/>
          <w:szCs w:val="22"/>
        </w:rPr>
        <w:t xml:space="preserve">s con la misma; </w:t>
      </w:r>
    </w:p>
    <w:p w14:paraId="1EC2B80E" w14:textId="42D58C37" w:rsidR="00B67F97" w:rsidRPr="00681CB2" w:rsidRDefault="00B67F97" w:rsidP="00791C37">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i/>
          <w:iCs/>
          <w:sz w:val="22"/>
          <w:szCs w:val="22"/>
        </w:rPr>
        <w:t xml:space="preserve">XXII. </w:t>
      </w:r>
      <w:r w:rsidRPr="00681CB2">
        <w:rPr>
          <w:rStyle w:val="normaltextrun"/>
          <w:rFonts w:ascii="Palatino Linotype" w:hAnsi="Palatino Linotype" w:cs="Segoe UI"/>
          <w:bCs/>
          <w:i/>
          <w:iCs/>
          <w:sz w:val="22"/>
          <w:szCs w:val="22"/>
        </w:rPr>
        <w:t>Verificar los procedimientos de licitación para la contratación de las obras y servicio</w:t>
      </w:r>
      <w:r w:rsidR="00791C37" w:rsidRPr="00681CB2">
        <w:rPr>
          <w:rStyle w:val="normaltextrun"/>
          <w:rFonts w:ascii="Palatino Linotype" w:hAnsi="Palatino Linotype" w:cs="Segoe UI"/>
          <w:bCs/>
          <w:i/>
          <w:iCs/>
          <w:sz w:val="22"/>
          <w:szCs w:val="22"/>
        </w:rPr>
        <w:t xml:space="preserve">s relacionados con las mismas. </w:t>
      </w:r>
    </w:p>
    <w:p w14:paraId="691CA99A" w14:textId="290753CF" w:rsidR="00B67F97" w:rsidRPr="00681CB2" w:rsidRDefault="00B67F97" w:rsidP="00791C37">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
          <w:i/>
          <w:iCs/>
          <w:sz w:val="22"/>
          <w:szCs w:val="22"/>
        </w:rPr>
        <w:t>Artículo 60.-</w:t>
      </w:r>
      <w:r w:rsidRPr="00681CB2">
        <w:rPr>
          <w:rStyle w:val="normaltextrun"/>
          <w:rFonts w:ascii="Palatino Linotype" w:hAnsi="Palatino Linotype" w:cs="Segoe UI"/>
          <w:i/>
          <w:iCs/>
          <w:sz w:val="22"/>
          <w:szCs w:val="22"/>
        </w:rPr>
        <w:t xml:space="preserve"> </w:t>
      </w:r>
      <w:r w:rsidRPr="00681CB2">
        <w:rPr>
          <w:rStyle w:val="normaltextrun"/>
          <w:rFonts w:ascii="Palatino Linotype" w:hAnsi="Palatino Linotype" w:cs="Segoe UI"/>
          <w:bCs/>
          <w:i/>
          <w:iCs/>
          <w:sz w:val="22"/>
          <w:szCs w:val="22"/>
        </w:rPr>
        <w:t>La Subdirección de Construcción tendr</w:t>
      </w:r>
      <w:r w:rsidR="00791C37" w:rsidRPr="00681CB2">
        <w:rPr>
          <w:rStyle w:val="normaltextrun"/>
          <w:rFonts w:ascii="Palatino Linotype" w:hAnsi="Palatino Linotype" w:cs="Segoe UI"/>
          <w:bCs/>
          <w:i/>
          <w:iCs/>
          <w:sz w:val="22"/>
          <w:szCs w:val="22"/>
        </w:rPr>
        <w:t xml:space="preserve">á las siguientes atribuciones: </w:t>
      </w:r>
    </w:p>
    <w:p w14:paraId="1926ED2A" w14:textId="7A46F45A" w:rsidR="00791C37" w:rsidRPr="00681CB2" w:rsidRDefault="00791C37" w:rsidP="00791C37">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i/>
          <w:iCs/>
          <w:sz w:val="22"/>
          <w:szCs w:val="22"/>
        </w:rPr>
        <w:t>…</w:t>
      </w:r>
    </w:p>
    <w:p w14:paraId="0BA366A5" w14:textId="77777777" w:rsidR="00B67F97" w:rsidRPr="00681CB2" w:rsidRDefault="00B67F97" w:rsidP="00791C37">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i/>
          <w:iCs/>
          <w:sz w:val="22"/>
          <w:szCs w:val="22"/>
        </w:rPr>
        <w:t xml:space="preserve">IV. </w:t>
      </w:r>
      <w:r w:rsidRPr="00681CB2">
        <w:rPr>
          <w:rStyle w:val="normaltextrun"/>
          <w:rFonts w:ascii="Palatino Linotype" w:hAnsi="Palatino Linotype" w:cs="Segoe UI"/>
          <w:bCs/>
          <w:i/>
          <w:iCs/>
          <w:sz w:val="22"/>
          <w:szCs w:val="22"/>
        </w:rPr>
        <w:t xml:space="preserve">Supervisar los contratos y convenios de obra pública y los servicios relacionados con la misma que se generen con motivo de la contratación de las obras; </w:t>
      </w:r>
    </w:p>
    <w:p w14:paraId="4918B494" w14:textId="5540B5ED" w:rsidR="00B67F97" w:rsidRPr="00681CB2" w:rsidRDefault="00B67F97" w:rsidP="00791C37">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bCs/>
          <w:i/>
          <w:iCs/>
          <w:sz w:val="22"/>
          <w:szCs w:val="22"/>
        </w:rPr>
        <w:t xml:space="preserve"> </w:t>
      </w:r>
      <w:r w:rsidR="00791C37" w:rsidRPr="00681CB2">
        <w:rPr>
          <w:rStyle w:val="normaltextrun"/>
          <w:rFonts w:ascii="Palatino Linotype" w:hAnsi="Palatino Linotype" w:cs="Segoe UI"/>
          <w:bCs/>
          <w:i/>
          <w:iCs/>
          <w:sz w:val="22"/>
          <w:szCs w:val="22"/>
        </w:rPr>
        <w:t>…</w:t>
      </w:r>
    </w:p>
    <w:p w14:paraId="53D4774B" w14:textId="77777777" w:rsidR="00B67F97" w:rsidRPr="00681CB2" w:rsidRDefault="00B67F97" w:rsidP="00791C37">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81CB2">
        <w:rPr>
          <w:rStyle w:val="normaltextrun"/>
          <w:rFonts w:ascii="Palatino Linotype" w:hAnsi="Palatino Linotype" w:cs="Segoe UI"/>
          <w:i/>
          <w:iCs/>
          <w:sz w:val="22"/>
          <w:szCs w:val="22"/>
        </w:rPr>
        <w:t xml:space="preserve">VI. </w:t>
      </w:r>
      <w:r w:rsidRPr="00681CB2">
        <w:rPr>
          <w:rStyle w:val="normaltextrun"/>
          <w:rFonts w:ascii="Palatino Linotype" w:hAnsi="Palatino Linotype" w:cs="Segoe UI"/>
          <w:bCs/>
          <w:i/>
          <w:iCs/>
          <w:sz w:val="22"/>
          <w:szCs w:val="22"/>
        </w:rPr>
        <w:t xml:space="preserve">Realizar los procedimientos de licitación para la contratación de las obras; </w:t>
      </w:r>
    </w:p>
    <w:p w14:paraId="55DBAAE9" w14:textId="62A8E1D6" w:rsidR="00984082" w:rsidRPr="00681CB2" w:rsidRDefault="00984082" w:rsidP="00984082">
      <w:pPr>
        <w:spacing w:before="240" w:after="240" w:line="360" w:lineRule="auto"/>
        <w:jc w:val="both"/>
        <w:rPr>
          <w:rStyle w:val="normaltextrun"/>
        </w:rPr>
      </w:pPr>
      <w:r w:rsidRPr="00681CB2">
        <w:rPr>
          <w:rFonts w:ascii="Palatino Linotype" w:hAnsi="Palatino Linotype" w:cs="Arial"/>
          <w:lang w:val="es-MX" w:eastAsia="es-MX"/>
        </w:rPr>
        <w:lastRenderedPageBreak/>
        <w:t xml:space="preserve"> </w:t>
      </w:r>
      <w:r w:rsidRPr="00681CB2">
        <w:rPr>
          <w:rFonts w:ascii="Palatino Linotype" w:hAnsi="Palatino Linotype" w:cs="Arial"/>
        </w:rPr>
        <w:t xml:space="preserve">De igual forma, el Sujeto Obligado tiene una Dirección Jurídica a la que entre otras atribuciones se le confiere la revisión de contratos, </w:t>
      </w:r>
      <w:r w:rsidR="006B634A" w:rsidRPr="00681CB2">
        <w:rPr>
          <w:rFonts w:ascii="Palatino Linotype" w:hAnsi="Palatino Linotype" w:cs="Arial"/>
        </w:rPr>
        <w:t>convenios</w:t>
      </w:r>
      <w:r w:rsidRPr="00681CB2">
        <w:rPr>
          <w:rFonts w:ascii="Palatino Linotype" w:hAnsi="Palatino Linotype" w:cs="Arial"/>
        </w:rPr>
        <w:t xml:space="preserve"> y demás</w:t>
      </w:r>
      <w:r w:rsidR="006B634A" w:rsidRPr="00681CB2">
        <w:rPr>
          <w:rFonts w:ascii="Palatino Linotype" w:hAnsi="Palatino Linotype" w:cs="Arial"/>
        </w:rPr>
        <w:t xml:space="preserve"> </w:t>
      </w:r>
      <w:r w:rsidRPr="00681CB2">
        <w:rPr>
          <w:rFonts w:ascii="Palatino Linotype" w:hAnsi="Palatino Linotype" w:cs="Arial"/>
        </w:rPr>
        <w:t>instrumentos jurídicos que celebre el Organismo Descentralizado, como se muestra a continuación:</w:t>
      </w:r>
    </w:p>
    <w:p w14:paraId="453BBF52" w14:textId="784D57E4" w:rsidR="00B67F97" w:rsidRPr="00681CB2" w:rsidRDefault="00A15EDC" w:rsidP="00791C37">
      <w:pPr>
        <w:pStyle w:val="paragraph"/>
        <w:spacing w:before="0" w:beforeAutospacing="0" w:after="0" w:afterAutospacing="0"/>
        <w:ind w:left="993" w:right="1041"/>
        <w:jc w:val="both"/>
        <w:textAlignment w:val="baseline"/>
        <w:rPr>
          <w:rStyle w:val="normaltextrun"/>
          <w:rFonts w:ascii="Palatino Linotype" w:hAnsi="Palatino Linotype" w:cs="Segoe UI"/>
          <w:i/>
          <w:iCs/>
          <w:sz w:val="22"/>
          <w:szCs w:val="22"/>
        </w:rPr>
      </w:pPr>
      <w:r w:rsidRPr="00681CB2">
        <w:rPr>
          <w:rStyle w:val="normaltextrun"/>
          <w:rFonts w:ascii="Palatino Linotype" w:hAnsi="Palatino Linotype" w:cs="Segoe UI"/>
          <w:b/>
          <w:i/>
          <w:iCs/>
          <w:sz w:val="22"/>
          <w:szCs w:val="22"/>
        </w:rPr>
        <w:t>“</w:t>
      </w:r>
      <w:r w:rsidR="00B67F97" w:rsidRPr="00681CB2">
        <w:rPr>
          <w:rStyle w:val="normaltextrun"/>
          <w:rFonts w:ascii="Palatino Linotype" w:hAnsi="Palatino Linotype" w:cs="Segoe UI"/>
          <w:b/>
          <w:i/>
          <w:iCs/>
          <w:sz w:val="22"/>
          <w:szCs w:val="22"/>
        </w:rPr>
        <w:t>Artículo 67.-</w:t>
      </w:r>
      <w:r w:rsidR="00B67F97" w:rsidRPr="00681CB2">
        <w:rPr>
          <w:rStyle w:val="normaltextrun"/>
          <w:rFonts w:ascii="Palatino Linotype" w:hAnsi="Palatino Linotype" w:cs="Segoe UI"/>
          <w:i/>
          <w:iCs/>
          <w:sz w:val="22"/>
          <w:szCs w:val="22"/>
        </w:rPr>
        <w:t xml:space="preserve"> Son facultades y obligaciones de la Direc</w:t>
      </w:r>
      <w:r w:rsidR="00791C37" w:rsidRPr="00681CB2">
        <w:rPr>
          <w:rStyle w:val="normaltextrun"/>
          <w:rFonts w:ascii="Palatino Linotype" w:hAnsi="Palatino Linotype" w:cs="Segoe UI"/>
          <w:i/>
          <w:iCs/>
          <w:sz w:val="22"/>
          <w:szCs w:val="22"/>
        </w:rPr>
        <w:t xml:space="preserve">ción Jurídica, las siguientes: </w:t>
      </w:r>
    </w:p>
    <w:p w14:paraId="3A2A9D63" w14:textId="1897BEF6" w:rsidR="00791C37" w:rsidRPr="00681CB2" w:rsidRDefault="00791C37" w:rsidP="00791C37">
      <w:pPr>
        <w:pStyle w:val="paragraph"/>
        <w:spacing w:before="0" w:beforeAutospacing="0" w:after="0" w:afterAutospacing="0"/>
        <w:ind w:left="993" w:right="1041"/>
        <w:jc w:val="both"/>
        <w:textAlignment w:val="baseline"/>
        <w:rPr>
          <w:rStyle w:val="normaltextrun"/>
          <w:rFonts w:ascii="Palatino Linotype" w:hAnsi="Palatino Linotype" w:cs="Segoe UI"/>
          <w:i/>
          <w:iCs/>
          <w:sz w:val="22"/>
          <w:szCs w:val="22"/>
        </w:rPr>
      </w:pPr>
      <w:r w:rsidRPr="00681CB2">
        <w:rPr>
          <w:rStyle w:val="normaltextrun"/>
          <w:rFonts w:ascii="Palatino Linotype" w:hAnsi="Palatino Linotype" w:cs="Segoe UI"/>
          <w:i/>
          <w:iCs/>
          <w:sz w:val="22"/>
          <w:szCs w:val="22"/>
        </w:rPr>
        <w:t>…</w:t>
      </w:r>
    </w:p>
    <w:p w14:paraId="20279577" w14:textId="77777777" w:rsidR="00B67F97" w:rsidRPr="00681CB2" w:rsidRDefault="00B67F97" w:rsidP="00791C37">
      <w:pPr>
        <w:pStyle w:val="paragraph"/>
        <w:spacing w:before="0" w:beforeAutospacing="0" w:after="0" w:afterAutospacing="0"/>
        <w:ind w:left="993" w:right="1041"/>
        <w:jc w:val="both"/>
        <w:textAlignment w:val="baseline"/>
        <w:rPr>
          <w:rStyle w:val="normaltextrun"/>
          <w:rFonts w:ascii="Palatino Linotype" w:hAnsi="Palatino Linotype" w:cs="Segoe UI"/>
          <w:i/>
          <w:iCs/>
          <w:sz w:val="22"/>
          <w:szCs w:val="22"/>
        </w:rPr>
      </w:pPr>
      <w:r w:rsidRPr="00681CB2">
        <w:rPr>
          <w:rStyle w:val="normaltextrun"/>
          <w:rFonts w:ascii="Palatino Linotype" w:hAnsi="Palatino Linotype" w:cs="Segoe UI"/>
          <w:i/>
          <w:iCs/>
          <w:sz w:val="22"/>
          <w:szCs w:val="22"/>
        </w:rPr>
        <w:t xml:space="preserve">VII. Proponer, revisar, proyectar contratos, convenios y demás actos jurídicos a celebrarse por el organismo; </w:t>
      </w:r>
    </w:p>
    <w:p w14:paraId="24CA9234" w14:textId="0EAB2B25" w:rsidR="00B67F97" w:rsidRPr="00681CB2" w:rsidRDefault="00B67F97" w:rsidP="00791C37">
      <w:pPr>
        <w:pStyle w:val="paragraph"/>
        <w:spacing w:before="0" w:beforeAutospacing="0" w:after="0" w:afterAutospacing="0"/>
        <w:ind w:left="993" w:right="1041"/>
        <w:jc w:val="both"/>
        <w:textAlignment w:val="baseline"/>
        <w:rPr>
          <w:rStyle w:val="normaltextrun"/>
          <w:rFonts w:ascii="Palatino Linotype" w:hAnsi="Palatino Linotype" w:cs="Segoe UI"/>
          <w:i/>
          <w:iCs/>
          <w:sz w:val="22"/>
          <w:szCs w:val="22"/>
        </w:rPr>
      </w:pPr>
      <w:r w:rsidRPr="00681CB2">
        <w:rPr>
          <w:rStyle w:val="normaltextrun"/>
          <w:rFonts w:ascii="Palatino Linotype" w:hAnsi="Palatino Linotype" w:cs="Segoe UI"/>
          <w:i/>
          <w:iCs/>
          <w:sz w:val="22"/>
          <w:szCs w:val="22"/>
        </w:rPr>
        <w:t xml:space="preserve"> </w:t>
      </w:r>
      <w:r w:rsidR="00791C37" w:rsidRPr="00681CB2">
        <w:rPr>
          <w:rStyle w:val="normaltextrun"/>
          <w:rFonts w:ascii="Palatino Linotype" w:hAnsi="Palatino Linotype" w:cs="Segoe UI"/>
          <w:i/>
          <w:iCs/>
          <w:sz w:val="22"/>
          <w:szCs w:val="22"/>
        </w:rPr>
        <w:t>…</w:t>
      </w:r>
    </w:p>
    <w:p w14:paraId="0A579389" w14:textId="543AC0CC" w:rsidR="00B67F97" w:rsidRPr="00681CB2" w:rsidRDefault="00B67F97" w:rsidP="00791C37">
      <w:pPr>
        <w:pStyle w:val="paragraph"/>
        <w:spacing w:before="0" w:beforeAutospacing="0" w:after="0" w:afterAutospacing="0"/>
        <w:ind w:left="993" w:right="1041"/>
        <w:jc w:val="both"/>
        <w:textAlignment w:val="baseline"/>
        <w:rPr>
          <w:rStyle w:val="normaltextrun"/>
          <w:rFonts w:ascii="Palatino Linotype" w:hAnsi="Palatino Linotype" w:cs="Segoe UI"/>
          <w:i/>
          <w:iCs/>
          <w:sz w:val="22"/>
          <w:szCs w:val="22"/>
        </w:rPr>
      </w:pPr>
      <w:r w:rsidRPr="00681CB2">
        <w:rPr>
          <w:rStyle w:val="normaltextrun"/>
          <w:rFonts w:ascii="Palatino Linotype" w:hAnsi="Palatino Linotype" w:cs="Segoe UI"/>
          <w:i/>
          <w:iCs/>
          <w:sz w:val="22"/>
          <w:szCs w:val="22"/>
        </w:rPr>
        <w:t xml:space="preserve">XI. Autorizar con su visto bueno los contratos y convenios sometidos a su análisis; </w:t>
      </w:r>
      <w:r w:rsidR="00A15EDC" w:rsidRPr="00681CB2">
        <w:rPr>
          <w:rStyle w:val="normaltextrun"/>
          <w:rFonts w:ascii="Palatino Linotype" w:hAnsi="Palatino Linotype" w:cs="Segoe UI"/>
          <w:i/>
          <w:iCs/>
          <w:sz w:val="22"/>
          <w:szCs w:val="22"/>
        </w:rPr>
        <w:t>“</w:t>
      </w:r>
    </w:p>
    <w:p w14:paraId="648F13F1" w14:textId="7AA69E19" w:rsidR="00984082" w:rsidRPr="00681CB2" w:rsidRDefault="00B67F97" w:rsidP="00984082">
      <w:pPr>
        <w:spacing w:before="240" w:after="240" w:line="360" w:lineRule="auto"/>
        <w:jc w:val="both"/>
        <w:rPr>
          <w:rFonts w:ascii="Palatino Linotype" w:hAnsi="Palatino Linotype" w:cs="Arial"/>
        </w:rPr>
      </w:pPr>
      <w:r w:rsidRPr="00681CB2">
        <w:rPr>
          <w:rFonts w:ascii="Palatino Linotype" w:hAnsi="Palatino Linotype" w:cs="Arial"/>
          <w:lang w:val="es-MX" w:eastAsia="es-MX"/>
        </w:rPr>
        <w:t xml:space="preserve"> </w:t>
      </w:r>
      <w:r w:rsidR="00984082" w:rsidRPr="00681CB2">
        <w:rPr>
          <w:rFonts w:ascii="Palatino Linotype" w:hAnsi="Palatino Linotype" w:cs="Arial"/>
        </w:rPr>
        <w:t xml:space="preserve">En consecuencia, se puede advertir la existencia de más áreas competentes para brindar contestación a la solicitud de información, además de la Dirección de Administración, </w:t>
      </w:r>
      <w:r w:rsidR="00BF4C01" w:rsidRPr="00681CB2">
        <w:rPr>
          <w:rFonts w:ascii="Palatino Linotype" w:hAnsi="Palatino Linotype" w:cs="Arial"/>
        </w:rPr>
        <w:t>F</w:t>
      </w:r>
      <w:r w:rsidR="00984082" w:rsidRPr="00681CB2">
        <w:rPr>
          <w:rFonts w:ascii="Palatino Linotype" w:hAnsi="Palatino Linotype" w:cs="Arial"/>
        </w:rPr>
        <w:t>inanzas y Comercialización, situación que no advirtió la Unidad de Transparencia e incumplió lo establecido en el artículo 162 de la Ley de Transparencia y Acceso a la Información Pública del Estado de México y Municipios, que dispone que se deberá garantizar que las solicitudes se turnen a todas las áreas competentes que cuenten con la información o deban tenerla de acuerdo con sus facultades, competencias y funciones, con el objetivo de que realicen una búsqueda exhaustiva y razonable de la información</w:t>
      </w:r>
      <w:r w:rsidR="00984082" w:rsidRPr="00681CB2">
        <w:rPr>
          <w:rStyle w:val="Refdenotaalpie"/>
          <w:rFonts w:ascii="Palatino Linotype" w:hAnsi="Palatino Linotype" w:cs="Arial"/>
        </w:rPr>
        <w:footnoteReference w:id="9"/>
      </w:r>
      <w:r w:rsidR="00984082" w:rsidRPr="00681CB2">
        <w:rPr>
          <w:rFonts w:ascii="Palatino Linotype" w:hAnsi="Palatino Linotype" w:cs="Arial"/>
        </w:rPr>
        <w:t>.</w:t>
      </w:r>
    </w:p>
    <w:p w14:paraId="5FFCE62E" w14:textId="76BB34F9" w:rsidR="00984082" w:rsidRPr="00681CB2" w:rsidRDefault="00984082" w:rsidP="00984082">
      <w:pPr>
        <w:spacing w:before="240" w:after="240" w:line="360" w:lineRule="auto"/>
        <w:jc w:val="both"/>
        <w:rPr>
          <w:rFonts w:ascii="Palatino Linotype" w:hAnsi="Palatino Linotype" w:cs="Arial"/>
        </w:rPr>
      </w:pPr>
      <w:r w:rsidRPr="00681CB2">
        <w:rPr>
          <w:rFonts w:ascii="Palatino Linotype" w:hAnsi="Palatino Linotype" w:cs="Arial"/>
        </w:rPr>
        <w:lastRenderedPageBreak/>
        <w:t xml:space="preserve">Derivado de lo anterior, se advierte que el Titular de la Unidad de Transparencia, omitió la realización de una búsqueda exhaustiva en todas y cada una de las áreas en las que pudiera obrar la información, ya que vía respuesta </w:t>
      </w:r>
      <w:r w:rsidR="00B46D4C" w:rsidRPr="00681CB2">
        <w:rPr>
          <w:rFonts w:ascii="Palatino Linotype" w:hAnsi="Palatino Linotype" w:cs="Arial"/>
        </w:rPr>
        <w:t xml:space="preserve">fue </w:t>
      </w:r>
      <w:r w:rsidRPr="00681CB2">
        <w:rPr>
          <w:rFonts w:ascii="Palatino Linotype" w:hAnsi="Palatino Linotype" w:cs="Arial"/>
        </w:rPr>
        <w:t>el único que se pronunció sin que se advierta en el expediente electrónico que efectivamente turnó la solicitud de información y sin tomar en cuenta las atribuciones con las que cuenta cada dependencia del Sujeto Obligado para poder turnar la petición al área que pueda solventarla, por ende lo procedente será ordenar, previa búsqueda exhaustiva y razonable, los documentos en donde consten</w:t>
      </w:r>
      <w:r w:rsidR="00775908" w:rsidRPr="00681CB2">
        <w:rPr>
          <w:rFonts w:ascii="Palatino Linotype" w:hAnsi="Palatino Linotype" w:cs="Arial"/>
        </w:rPr>
        <w:t xml:space="preserve"> el número de contratos que ha suscrito cualquier unidad administrativa con la empresa referida, objeto de cada contrato, monto pagado y vigencia de los mism</w:t>
      </w:r>
      <w:r w:rsidR="00170772" w:rsidRPr="00681CB2">
        <w:rPr>
          <w:rFonts w:ascii="Palatino Linotype" w:hAnsi="Palatino Linotype" w:cs="Arial"/>
        </w:rPr>
        <w:t>os</w:t>
      </w:r>
      <w:r w:rsidR="00775908" w:rsidRPr="00681CB2">
        <w:rPr>
          <w:rFonts w:ascii="Palatino Linotype" w:hAnsi="Palatino Linotype" w:cs="Arial"/>
        </w:rPr>
        <w:t>, propuesta técn</w:t>
      </w:r>
      <w:r w:rsidR="00260829" w:rsidRPr="00681CB2">
        <w:rPr>
          <w:rFonts w:ascii="Palatino Linotype" w:hAnsi="Palatino Linotype" w:cs="Arial"/>
        </w:rPr>
        <w:t xml:space="preserve">ica y económica del proveedor y, en su caso, </w:t>
      </w:r>
      <w:r w:rsidR="00775908" w:rsidRPr="00681CB2">
        <w:rPr>
          <w:rFonts w:ascii="Palatino Linotype" w:hAnsi="Palatino Linotype" w:cs="Arial"/>
        </w:rPr>
        <w:t>el estudio de mercado.</w:t>
      </w:r>
    </w:p>
    <w:p w14:paraId="7C853112" w14:textId="77777777" w:rsidR="00170772" w:rsidRPr="00681CB2" w:rsidRDefault="00170772" w:rsidP="00170772">
      <w:pPr>
        <w:spacing w:before="240" w:line="360" w:lineRule="auto"/>
        <w:jc w:val="both"/>
        <w:rPr>
          <w:rFonts w:ascii="Palatino Linotype" w:hAnsi="Palatino Linotype"/>
        </w:rPr>
      </w:pPr>
      <w:r w:rsidRPr="00681CB2">
        <w:rPr>
          <w:rFonts w:ascii="Palatino Linotype" w:hAnsi="Palatino Linotype" w:cs="Arial"/>
        </w:rPr>
        <w:t xml:space="preserve">En atención a lo anterior, este Órgano Garante considera que lo requerido debe obrar en algún documento que se encuentre en posesión del Sujeto Obligado, pues no es de soslayar que el derecho de acceso a la información </w:t>
      </w:r>
      <w:r w:rsidRPr="00681CB2">
        <w:rPr>
          <w:rFonts w:ascii="Palatino Linotype" w:hAnsi="Palatino Linotype"/>
          <w:shd w:val="clear" w:color="auto" w:fill="FFFFFF"/>
        </w:rPr>
        <w:t xml:space="preserve">se encamina primordialmente a permitir el acceso a datos, registros y todo tipo de información pública que conste en documentos, ya sea generados o que se encuentre en posesión de las autoridades, como en el presente caso, que para satisfacer plenamente el derecho de acceso a la información pública, el Sujeto Obligado tiene que entregar el soporte documental en donde conste la información que brinde respuesta a la solicitud, así el particular podrá buscar conforme a su interés; </w:t>
      </w:r>
      <w:r w:rsidRPr="00681CB2">
        <w:rPr>
          <w:rFonts w:ascii="Palatino Linotype" w:hAnsi="Palatino Linotype"/>
        </w:rPr>
        <w:t>tal como lo ha sostenido el entonces Instituto Federal de Acceso a la Información y Protección de Datos (IFAI) y sostenido por el Pleno de este Instituto, en el criterio 16/17:</w:t>
      </w:r>
    </w:p>
    <w:p w14:paraId="1CB8721B" w14:textId="77777777" w:rsidR="00170772" w:rsidRPr="00681CB2" w:rsidRDefault="00170772" w:rsidP="00170772">
      <w:pPr>
        <w:ind w:left="851" w:right="900"/>
        <w:jc w:val="both"/>
        <w:rPr>
          <w:rFonts w:ascii="Palatino Linotype" w:hAnsi="Palatino Linotype"/>
          <w:i/>
          <w:sz w:val="22"/>
          <w:szCs w:val="22"/>
        </w:rPr>
      </w:pPr>
      <w:r w:rsidRPr="00681CB2">
        <w:rPr>
          <w:rFonts w:ascii="Palatino Linotype" w:hAnsi="Palatino Linotype"/>
          <w:b/>
          <w:i/>
          <w:sz w:val="22"/>
          <w:szCs w:val="22"/>
        </w:rPr>
        <w:lastRenderedPageBreak/>
        <w:t xml:space="preserve">“Expresión documental. </w:t>
      </w:r>
      <w:r w:rsidRPr="00681CB2">
        <w:rPr>
          <w:rFonts w:ascii="Palatino Linotype" w:hAnsi="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6AFE454E" w14:textId="77777777" w:rsidR="00170772" w:rsidRPr="00681CB2" w:rsidRDefault="00170772" w:rsidP="00170772">
      <w:pPr>
        <w:ind w:left="851" w:right="900"/>
        <w:jc w:val="both"/>
        <w:rPr>
          <w:rFonts w:ascii="Palatino Linotype" w:hAnsi="Palatino Linotype"/>
          <w:i/>
          <w:sz w:val="22"/>
          <w:szCs w:val="22"/>
        </w:rPr>
      </w:pPr>
      <w:r w:rsidRPr="00681CB2">
        <w:rPr>
          <w:rFonts w:ascii="Palatino Linotype" w:hAnsi="Palatino Linotype"/>
          <w:i/>
          <w:sz w:val="22"/>
          <w:szCs w:val="22"/>
        </w:rPr>
        <w:t>Resoluciones:</w:t>
      </w:r>
    </w:p>
    <w:p w14:paraId="37B5B6D3" w14:textId="77777777" w:rsidR="00170772" w:rsidRPr="00681CB2" w:rsidRDefault="00170772" w:rsidP="00170772">
      <w:pPr>
        <w:ind w:left="851" w:right="900"/>
        <w:jc w:val="both"/>
        <w:rPr>
          <w:rFonts w:ascii="Palatino Linotype" w:hAnsi="Palatino Linotype"/>
          <w:i/>
          <w:sz w:val="22"/>
          <w:szCs w:val="22"/>
        </w:rPr>
      </w:pPr>
      <w:r w:rsidRPr="00681CB2">
        <w:rPr>
          <w:rFonts w:ascii="Palatino Linotype" w:hAnsi="Palatino Linotype"/>
          <w:i/>
          <w:sz w:val="22"/>
          <w:szCs w:val="22"/>
        </w:rPr>
        <w:t xml:space="preserve">RRA 0774/16. Secretaría de Salud. 31 de agosto de 2016. Por unanimidad. Comisionada Ponente María Patricia </w:t>
      </w:r>
      <w:proofErr w:type="spellStart"/>
      <w:r w:rsidRPr="00681CB2">
        <w:rPr>
          <w:rFonts w:ascii="Palatino Linotype" w:hAnsi="Palatino Linotype"/>
          <w:i/>
          <w:sz w:val="22"/>
          <w:szCs w:val="22"/>
        </w:rPr>
        <w:t>Kurczyn</w:t>
      </w:r>
      <w:proofErr w:type="spellEnd"/>
      <w:r w:rsidRPr="00681CB2">
        <w:rPr>
          <w:rFonts w:ascii="Palatino Linotype" w:hAnsi="Palatino Linotype"/>
          <w:i/>
          <w:sz w:val="22"/>
          <w:szCs w:val="22"/>
        </w:rPr>
        <w:t xml:space="preserve"> Villalobos.</w:t>
      </w:r>
    </w:p>
    <w:p w14:paraId="51338F4C" w14:textId="77777777" w:rsidR="00170772" w:rsidRPr="00681CB2" w:rsidRDefault="00170772" w:rsidP="00170772">
      <w:pPr>
        <w:ind w:left="851" w:right="900"/>
        <w:jc w:val="both"/>
        <w:rPr>
          <w:rFonts w:ascii="Palatino Linotype" w:hAnsi="Palatino Linotype"/>
          <w:i/>
          <w:sz w:val="22"/>
          <w:szCs w:val="22"/>
        </w:rPr>
      </w:pPr>
      <w:r w:rsidRPr="00681CB2">
        <w:rPr>
          <w:rFonts w:ascii="Palatino Linotype" w:hAnsi="Palatino Linotype"/>
          <w:i/>
          <w:sz w:val="22"/>
          <w:szCs w:val="22"/>
        </w:rPr>
        <w:t xml:space="preserve">RRA 0143/17. Universidad Autónoma Agraria Antonio Narro. 22 de febrero de 2017. Por unanimidad. Comisionado Ponente Oscar Mauricio Guerra Ford. </w:t>
      </w:r>
    </w:p>
    <w:p w14:paraId="420D3DDC" w14:textId="77777777" w:rsidR="00170772" w:rsidRPr="00681CB2" w:rsidRDefault="00170772" w:rsidP="00170772">
      <w:pPr>
        <w:ind w:left="851" w:right="900"/>
        <w:jc w:val="both"/>
        <w:rPr>
          <w:rFonts w:ascii="Palatino Linotype" w:hAnsi="Palatino Linotype"/>
          <w:i/>
          <w:sz w:val="22"/>
          <w:szCs w:val="22"/>
        </w:rPr>
      </w:pPr>
      <w:r w:rsidRPr="00681CB2">
        <w:rPr>
          <w:rFonts w:ascii="Palatino Linotype" w:hAnsi="Palatino Linotype"/>
          <w:i/>
          <w:sz w:val="22"/>
          <w:szCs w:val="22"/>
        </w:rPr>
        <w:t xml:space="preserve">RRA 0540/17. Secretaría de Economía. 08 de marzo del 2017. Por unanimidad. Comisionado Ponente Francisco Javier Acuña Llamas. </w:t>
      </w:r>
    </w:p>
    <w:p w14:paraId="110B064E" w14:textId="071A0CE2" w:rsidR="00170772" w:rsidRPr="00681CB2" w:rsidRDefault="00170772" w:rsidP="00170772">
      <w:pPr>
        <w:spacing w:before="240" w:line="360" w:lineRule="auto"/>
        <w:jc w:val="both"/>
        <w:rPr>
          <w:rFonts w:ascii="Palatino Linotype" w:hAnsi="Palatino Linotype"/>
        </w:rPr>
      </w:pPr>
      <w:r w:rsidRPr="00681CB2">
        <w:rPr>
          <w:rFonts w:ascii="Palatino Linotype" w:hAnsi="Palatino Linotype"/>
        </w:rPr>
        <w:t xml:space="preserve">En consecuencia, para que el derecho de acceso a la información pública se satisfaga por parte de los Sujetos Obligados, es necesario que en las solicitudes de información se haga entrega de aquellos soportes documentales en donde conste lo requerido; por ello el Sujeto Obligado tendrá que buscar entre sus archivos </w:t>
      </w:r>
      <w:r w:rsidR="006A31FC" w:rsidRPr="00681CB2">
        <w:rPr>
          <w:rFonts w:ascii="Palatino Linotype" w:hAnsi="Palatino Linotype"/>
        </w:rPr>
        <w:t>aquél documento</w:t>
      </w:r>
      <w:r w:rsidRPr="00681CB2">
        <w:rPr>
          <w:rFonts w:ascii="Palatino Linotype" w:hAnsi="Palatino Linotype"/>
        </w:rPr>
        <w:t xml:space="preserve">, que de manera enunciativa más no limitativa podrían ser </w:t>
      </w:r>
      <w:r w:rsidR="006A31FC" w:rsidRPr="00681CB2">
        <w:rPr>
          <w:rFonts w:ascii="Palatino Linotype" w:hAnsi="Palatino Linotype"/>
        </w:rPr>
        <w:t xml:space="preserve">los </w:t>
      </w:r>
      <w:r w:rsidRPr="00681CB2">
        <w:rPr>
          <w:rFonts w:ascii="Palatino Linotype" w:hAnsi="Palatino Linotype"/>
        </w:rPr>
        <w:t>contratos y sus anexos que se hayan firmado con dichas empresas, documento que de acuerdo co</w:t>
      </w:r>
      <w:r w:rsidR="003A0AA2" w:rsidRPr="00681CB2">
        <w:rPr>
          <w:rFonts w:ascii="Palatino Linotype" w:hAnsi="Palatino Linotype"/>
        </w:rPr>
        <w:t>n la Ley de Contratación Pública vigente se adjudica derivado de los procedimientos de adquisiciones de bienes o servicios dentro de los diez días hábiles siguientes a la notificación del fallo</w:t>
      </w:r>
      <w:r w:rsidR="0034028A" w:rsidRPr="00681CB2">
        <w:rPr>
          <w:rFonts w:ascii="Palatino Linotype" w:hAnsi="Palatino Linotype"/>
        </w:rPr>
        <w:t xml:space="preserve"> y en el mismo se contendrán las disposiciones y formalidades que los contratantes establezcan, </w:t>
      </w:r>
      <w:r w:rsidRPr="00681CB2">
        <w:rPr>
          <w:rFonts w:ascii="Palatino Linotype" w:hAnsi="Palatino Linotype"/>
        </w:rPr>
        <w:t>por lo que se estima es el documento que podría contener la información requerida.</w:t>
      </w:r>
    </w:p>
    <w:p w14:paraId="2BD00B3D" w14:textId="0D6CEFE7" w:rsidR="00EA0A5C" w:rsidRPr="00681CB2" w:rsidRDefault="00EA0A5C" w:rsidP="00984082">
      <w:pPr>
        <w:spacing w:before="240" w:after="240" w:line="360" w:lineRule="auto"/>
        <w:jc w:val="both"/>
        <w:rPr>
          <w:rFonts w:ascii="Palatino Linotype" w:hAnsi="Palatino Linotype" w:cs="Arial"/>
        </w:rPr>
      </w:pPr>
      <w:r w:rsidRPr="00681CB2">
        <w:rPr>
          <w:rFonts w:ascii="Palatino Linotype" w:hAnsi="Palatino Linotype" w:cs="Arial"/>
        </w:rPr>
        <w:t>Lo anterior se estima así, ya que el procedimiento de licitación contempla la presentaci</w:t>
      </w:r>
      <w:r w:rsidR="000E26A5" w:rsidRPr="00681CB2">
        <w:rPr>
          <w:rFonts w:ascii="Palatino Linotype" w:hAnsi="Palatino Linotype" w:cs="Arial"/>
        </w:rPr>
        <w:t>ón d</w:t>
      </w:r>
      <w:r w:rsidRPr="00681CB2">
        <w:rPr>
          <w:rFonts w:ascii="Palatino Linotype" w:hAnsi="Palatino Linotype" w:cs="Arial"/>
        </w:rPr>
        <w:t>e</w:t>
      </w:r>
      <w:r w:rsidR="000E26A5" w:rsidRPr="00681CB2">
        <w:rPr>
          <w:rFonts w:ascii="Palatino Linotype" w:hAnsi="Palatino Linotype" w:cs="Arial"/>
        </w:rPr>
        <w:t xml:space="preserve"> </w:t>
      </w:r>
      <w:r w:rsidRPr="00681CB2">
        <w:rPr>
          <w:rFonts w:ascii="Palatino Linotype" w:hAnsi="Palatino Linotype" w:cs="Arial"/>
        </w:rPr>
        <w:t xml:space="preserve">las </w:t>
      </w:r>
      <w:r w:rsidR="000E26A5" w:rsidRPr="00681CB2">
        <w:rPr>
          <w:rFonts w:ascii="Palatino Linotype" w:hAnsi="Palatino Linotype" w:cs="Arial"/>
        </w:rPr>
        <w:t>propuestas</w:t>
      </w:r>
      <w:r w:rsidRPr="00681CB2">
        <w:rPr>
          <w:rFonts w:ascii="Palatino Linotype" w:hAnsi="Palatino Linotype" w:cs="Arial"/>
        </w:rPr>
        <w:t xml:space="preserve"> técnicas y económicas como elemento fundamental </w:t>
      </w:r>
      <w:r w:rsidRPr="00681CB2">
        <w:rPr>
          <w:rFonts w:ascii="Palatino Linotype" w:hAnsi="Palatino Linotype" w:cs="Arial"/>
        </w:rPr>
        <w:lastRenderedPageBreak/>
        <w:t>para determinar el fallo</w:t>
      </w:r>
      <w:r w:rsidRPr="00681CB2">
        <w:rPr>
          <w:rStyle w:val="Refdenotaalpie"/>
          <w:rFonts w:ascii="Palatino Linotype" w:hAnsi="Palatino Linotype" w:cs="Arial"/>
        </w:rPr>
        <w:footnoteReference w:id="10"/>
      </w:r>
      <w:r w:rsidR="000E26A5" w:rsidRPr="00681CB2">
        <w:rPr>
          <w:rFonts w:ascii="Palatino Linotype" w:hAnsi="Palatino Linotype" w:cs="Arial"/>
        </w:rPr>
        <w:t>, además de que como ya fue referido constituye información pública de oficio para el Sujeto Obligado.</w:t>
      </w:r>
    </w:p>
    <w:p w14:paraId="36D34A65" w14:textId="7E62D3D8" w:rsidR="003C3ACB" w:rsidRPr="00681CB2" w:rsidRDefault="003C3ACB" w:rsidP="00984082">
      <w:pPr>
        <w:spacing w:before="240" w:after="240" w:line="360" w:lineRule="auto"/>
        <w:jc w:val="both"/>
        <w:rPr>
          <w:rFonts w:ascii="Palatino Linotype" w:hAnsi="Palatino Linotype" w:cs="Arial"/>
        </w:rPr>
      </w:pPr>
      <w:r w:rsidRPr="00681CB2">
        <w:rPr>
          <w:rFonts w:ascii="Palatino Linotype" w:hAnsi="Palatino Linotype" w:cs="Arial"/>
        </w:rPr>
        <w:t>Respecto de la solicitud “</w:t>
      </w:r>
      <w:r w:rsidRPr="00681CB2">
        <w:rPr>
          <w:rFonts w:ascii="Palatino Linotype" w:hAnsi="Palatino Linotype" w:cs="Arial"/>
          <w:i/>
        </w:rPr>
        <w:t>las actas de comité</w:t>
      </w:r>
      <w:r w:rsidRPr="00681CB2">
        <w:rPr>
          <w:rFonts w:ascii="Palatino Linotype" w:hAnsi="Palatino Linotype" w:cs="Arial"/>
        </w:rPr>
        <w:t>”, y en atenci</w:t>
      </w:r>
      <w:r w:rsidR="00EA0A5C" w:rsidRPr="00681CB2">
        <w:rPr>
          <w:rFonts w:ascii="Palatino Linotype" w:hAnsi="Palatino Linotype" w:cs="Arial"/>
        </w:rPr>
        <w:t xml:space="preserve">ón a que el particular no es </w:t>
      </w:r>
      <w:r w:rsidRPr="00681CB2">
        <w:rPr>
          <w:rFonts w:ascii="Palatino Linotype" w:hAnsi="Palatino Linotype" w:cs="Arial"/>
        </w:rPr>
        <w:t>experto en la materia este Órgano Garante determina procedente aplicar la suplencia antes referida, en favor del recurrente, po</w:t>
      </w:r>
      <w:r w:rsidR="00933B28" w:rsidRPr="00681CB2">
        <w:rPr>
          <w:rFonts w:ascii="Palatino Linotype" w:hAnsi="Palatino Linotype" w:cs="Arial"/>
        </w:rPr>
        <w:t xml:space="preserve">r lo que se estima solicita los Dictámenes del </w:t>
      </w:r>
      <w:r w:rsidRPr="00681CB2">
        <w:rPr>
          <w:rFonts w:ascii="Palatino Linotype" w:hAnsi="Palatino Linotype" w:cs="Arial"/>
        </w:rPr>
        <w:t>Comité de Adquisiciones del Sujeto Obligad</w:t>
      </w:r>
      <w:r w:rsidR="00D33036" w:rsidRPr="00681CB2">
        <w:rPr>
          <w:rFonts w:ascii="Palatino Linotype" w:hAnsi="Palatino Linotype" w:cs="Arial"/>
        </w:rPr>
        <w:t xml:space="preserve">o, </w:t>
      </w:r>
      <w:r w:rsidR="00933B28" w:rsidRPr="00681CB2">
        <w:rPr>
          <w:rFonts w:ascii="Palatino Linotype" w:hAnsi="Palatino Linotype" w:cs="Arial"/>
        </w:rPr>
        <w:t xml:space="preserve">emitidos </w:t>
      </w:r>
      <w:r w:rsidR="00D33036" w:rsidRPr="00681CB2">
        <w:rPr>
          <w:rFonts w:ascii="Palatino Linotype" w:hAnsi="Palatino Linotype" w:cs="Arial"/>
        </w:rPr>
        <w:t xml:space="preserve">con motivo de los </w:t>
      </w:r>
      <w:r w:rsidRPr="00681CB2">
        <w:rPr>
          <w:rFonts w:ascii="Palatino Linotype" w:hAnsi="Palatino Linotype" w:cs="Arial"/>
        </w:rPr>
        <w:t>procedimientos en donde se hayan involucrado la o las empresas referidas, toda vez que la Ley de Contratación Pública vigente en el Estado, menciona que en los procedimientos de licitación se observará lo siguiente:</w:t>
      </w:r>
    </w:p>
    <w:p w14:paraId="67B37748" w14:textId="1AE0E0AA" w:rsidR="003C3ACB" w:rsidRPr="00681CB2" w:rsidRDefault="00B550FE" w:rsidP="00A15EDC">
      <w:pPr>
        <w:pStyle w:val="paragraph"/>
        <w:spacing w:before="0" w:beforeAutospacing="0" w:after="0" w:afterAutospacing="0"/>
        <w:ind w:left="993" w:right="1041"/>
        <w:jc w:val="both"/>
        <w:textAlignment w:val="baseline"/>
        <w:rPr>
          <w:rStyle w:val="normaltextrun"/>
          <w:rFonts w:ascii="Palatino Linotype" w:hAnsi="Palatino Linotype" w:cs="Segoe UI"/>
          <w:i/>
          <w:iCs/>
          <w:sz w:val="22"/>
          <w:szCs w:val="22"/>
        </w:rPr>
      </w:pPr>
      <w:r w:rsidRPr="00681CB2">
        <w:rPr>
          <w:rStyle w:val="normaltextrun"/>
          <w:rFonts w:ascii="Palatino Linotype" w:hAnsi="Palatino Linotype" w:cs="Segoe UI"/>
          <w:b/>
          <w:i/>
          <w:iCs/>
          <w:sz w:val="22"/>
          <w:szCs w:val="22"/>
        </w:rPr>
        <w:t>“</w:t>
      </w:r>
      <w:r w:rsidR="003C3ACB" w:rsidRPr="00681CB2">
        <w:rPr>
          <w:rStyle w:val="normaltextrun"/>
          <w:rFonts w:ascii="Palatino Linotype" w:hAnsi="Palatino Linotype" w:cs="Segoe UI"/>
          <w:b/>
          <w:i/>
          <w:iCs/>
          <w:sz w:val="22"/>
          <w:szCs w:val="22"/>
        </w:rPr>
        <w:t>Artículo 35</w:t>
      </w:r>
      <w:r w:rsidR="003C3ACB" w:rsidRPr="00681CB2">
        <w:rPr>
          <w:rStyle w:val="normaltextrun"/>
          <w:rFonts w:ascii="Palatino Linotype" w:hAnsi="Palatino Linotype" w:cs="Segoe UI"/>
          <w:i/>
          <w:iCs/>
          <w:sz w:val="22"/>
          <w:szCs w:val="22"/>
        </w:rPr>
        <w:t>.- En los procedimientos de licitación pública se observará lo siguiente:</w:t>
      </w:r>
    </w:p>
    <w:p w14:paraId="76CF48DB" w14:textId="64685A35" w:rsidR="003C3ACB" w:rsidRPr="00681CB2" w:rsidRDefault="003C3ACB" w:rsidP="00A15EDC">
      <w:pPr>
        <w:pStyle w:val="paragraph"/>
        <w:spacing w:before="0" w:beforeAutospacing="0" w:after="0" w:afterAutospacing="0"/>
        <w:ind w:left="993" w:right="1041"/>
        <w:jc w:val="both"/>
        <w:textAlignment w:val="baseline"/>
        <w:rPr>
          <w:rStyle w:val="normaltextrun"/>
          <w:rFonts w:ascii="Palatino Linotype" w:hAnsi="Palatino Linotype" w:cs="Segoe UI"/>
          <w:i/>
          <w:iCs/>
          <w:sz w:val="22"/>
          <w:szCs w:val="22"/>
        </w:rPr>
      </w:pPr>
      <w:r w:rsidRPr="00681CB2">
        <w:rPr>
          <w:rStyle w:val="normaltextrun"/>
          <w:rFonts w:ascii="Palatino Linotype" w:hAnsi="Palatino Linotype" w:cs="Segoe UI"/>
          <w:i/>
          <w:iCs/>
          <w:sz w:val="22"/>
          <w:szCs w:val="22"/>
        </w:rPr>
        <w:t>…</w:t>
      </w:r>
    </w:p>
    <w:p w14:paraId="0CE74A27" w14:textId="727367A2" w:rsidR="003C3ACB" w:rsidRPr="00681CB2" w:rsidRDefault="003C3ACB" w:rsidP="00732F1A">
      <w:pPr>
        <w:pStyle w:val="paragraph"/>
        <w:numPr>
          <w:ilvl w:val="0"/>
          <w:numId w:val="33"/>
        </w:numPr>
        <w:spacing w:before="0" w:beforeAutospacing="0" w:after="0" w:afterAutospacing="0"/>
        <w:ind w:right="1041"/>
        <w:jc w:val="both"/>
        <w:textAlignment w:val="baseline"/>
        <w:rPr>
          <w:rStyle w:val="normaltextrun"/>
          <w:rFonts w:ascii="Palatino Linotype" w:hAnsi="Palatino Linotype" w:cs="Segoe UI"/>
          <w:i/>
          <w:iCs/>
          <w:sz w:val="22"/>
          <w:szCs w:val="22"/>
        </w:rPr>
      </w:pPr>
      <w:r w:rsidRPr="00681CB2">
        <w:rPr>
          <w:rStyle w:val="normaltextrun"/>
          <w:rFonts w:ascii="Palatino Linotype" w:hAnsi="Palatino Linotype" w:cs="Segoe UI"/>
          <w:i/>
          <w:iCs/>
          <w:sz w:val="22"/>
          <w:szCs w:val="22"/>
        </w:rPr>
        <w:t>El comité de adquisiciones y servicios evaluará y analizará las propuestas técnicas y económicas presentadas por los licitantes en el ámbito de las respectivas competencias de sus integrantes, y emitirá el dictamen de adjudicación.</w:t>
      </w:r>
    </w:p>
    <w:p w14:paraId="338C8ECC" w14:textId="77777777" w:rsidR="00513F62" w:rsidRPr="00681CB2" w:rsidRDefault="00B550FE" w:rsidP="00513F62">
      <w:pPr>
        <w:pStyle w:val="paragraph"/>
        <w:spacing w:before="0" w:beforeAutospacing="0" w:after="0" w:afterAutospacing="0"/>
        <w:ind w:left="1773" w:right="1041"/>
        <w:jc w:val="both"/>
        <w:textAlignment w:val="baseline"/>
        <w:rPr>
          <w:rStyle w:val="normaltextrun"/>
          <w:rFonts w:ascii="Palatino Linotype" w:hAnsi="Palatino Linotype" w:cs="Segoe UI"/>
          <w:i/>
          <w:iCs/>
          <w:sz w:val="22"/>
          <w:szCs w:val="22"/>
        </w:rPr>
      </w:pPr>
      <w:r w:rsidRPr="00681CB2">
        <w:rPr>
          <w:rStyle w:val="normaltextrun"/>
          <w:rFonts w:ascii="Palatino Linotype" w:hAnsi="Palatino Linotype" w:cs="Segoe UI"/>
          <w:i/>
          <w:iCs/>
          <w:sz w:val="22"/>
          <w:szCs w:val="22"/>
        </w:rPr>
        <w:t>…</w:t>
      </w:r>
    </w:p>
    <w:p w14:paraId="4017A06A" w14:textId="391FEFBB" w:rsidR="00B550FE" w:rsidRPr="00681CB2" w:rsidRDefault="00513F62" w:rsidP="00513F62">
      <w:pPr>
        <w:pStyle w:val="paragraph"/>
        <w:spacing w:before="0" w:beforeAutospacing="0" w:after="0" w:afterAutospacing="0"/>
        <w:ind w:left="993" w:right="1041"/>
        <w:jc w:val="both"/>
        <w:textAlignment w:val="baseline"/>
        <w:rPr>
          <w:rStyle w:val="normaltextrun"/>
          <w:rFonts w:ascii="Palatino Linotype" w:hAnsi="Palatino Linotype" w:cs="Segoe UI"/>
          <w:i/>
          <w:iCs/>
          <w:sz w:val="22"/>
          <w:szCs w:val="22"/>
        </w:rPr>
      </w:pPr>
      <w:r w:rsidRPr="00681CB2">
        <w:rPr>
          <w:rStyle w:val="normaltextrun"/>
          <w:rFonts w:ascii="Palatino Linotype" w:hAnsi="Palatino Linotype" w:cs="Segoe UI"/>
          <w:b/>
          <w:i/>
          <w:iCs/>
          <w:sz w:val="22"/>
          <w:szCs w:val="22"/>
        </w:rPr>
        <w:t>Artículo 37.-</w:t>
      </w:r>
      <w:r w:rsidRPr="00681CB2">
        <w:rPr>
          <w:rStyle w:val="normaltextrun"/>
          <w:rFonts w:ascii="Palatino Linotype" w:hAnsi="Palatino Linotype" w:cs="Segoe UI"/>
          <w:i/>
          <w:iCs/>
          <w:sz w:val="22"/>
          <w:szCs w:val="22"/>
        </w:rPr>
        <w:t xml:space="preserve"> El </w:t>
      </w:r>
      <w:r w:rsidRPr="00681CB2">
        <w:rPr>
          <w:rStyle w:val="normaltextrun"/>
          <w:rFonts w:ascii="Palatino Linotype" w:hAnsi="Palatino Linotype" w:cs="Segoe UI"/>
          <w:b/>
          <w:i/>
          <w:iCs/>
          <w:sz w:val="22"/>
          <w:szCs w:val="22"/>
        </w:rPr>
        <w:t>comité de adquisiciones y servicios realizará el análisis y evaluación de las propuestas, mediante la verificación del cumplimiento de la información y de la documentación solicitada en las bases de la licitación</w:t>
      </w:r>
      <w:r w:rsidRPr="00681CB2">
        <w:rPr>
          <w:rStyle w:val="normaltextrun"/>
          <w:rFonts w:ascii="Palatino Linotype" w:hAnsi="Palatino Linotype" w:cs="Segoe UI"/>
          <w:i/>
          <w:iCs/>
          <w:sz w:val="22"/>
          <w:szCs w:val="22"/>
        </w:rPr>
        <w:t xml:space="preserve"> y conforme al criterio establecidas en las mismas. </w:t>
      </w:r>
      <w:r w:rsidRPr="00681CB2">
        <w:rPr>
          <w:rStyle w:val="normaltextrun"/>
          <w:rFonts w:ascii="Palatino Linotype" w:hAnsi="Palatino Linotype" w:cs="Segoe UI"/>
          <w:b/>
          <w:i/>
          <w:iCs/>
          <w:sz w:val="22"/>
          <w:szCs w:val="22"/>
        </w:rPr>
        <w:t>Una vez efectuado el análisis cualitativo de las propuestas presentadas, emitirá el dictamen de adjudicación a favor del oferente</w:t>
      </w:r>
      <w:r w:rsidRPr="00681CB2">
        <w:rPr>
          <w:rStyle w:val="normaltextrun"/>
          <w:rFonts w:ascii="Palatino Linotype" w:hAnsi="Palatino Linotype" w:cs="Segoe UI"/>
          <w:i/>
          <w:iCs/>
          <w:sz w:val="22"/>
          <w:szCs w:val="22"/>
        </w:rPr>
        <w:t xml:space="preserv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r w:rsidR="00B550FE" w:rsidRPr="00681CB2">
        <w:rPr>
          <w:rStyle w:val="normaltextrun"/>
          <w:rFonts w:ascii="Palatino Linotype" w:hAnsi="Palatino Linotype" w:cs="Segoe UI"/>
          <w:i/>
          <w:iCs/>
          <w:sz w:val="22"/>
          <w:szCs w:val="22"/>
        </w:rPr>
        <w:t>”</w:t>
      </w:r>
    </w:p>
    <w:p w14:paraId="389F9FF0" w14:textId="7ACF56F1" w:rsidR="003C3ACB" w:rsidRPr="00681CB2" w:rsidRDefault="003C3ACB" w:rsidP="003C3ACB">
      <w:pPr>
        <w:spacing w:before="240" w:after="240" w:line="360" w:lineRule="auto"/>
        <w:jc w:val="both"/>
        <w:rPr>
          <w:rFonts w:ascii="Palatino Linotype" w:hAnsi="Palatino Linotype" w:cs="Arial"/>
        </w:rPr>
      </w:pPr>
      <w:r w:rsidRPr="00681CB2">
        <w:rPr>
          <w:rFonts w:ascii="Palatino Linotype" w:hAnsi="Palatino Linotype" w:cs="Arial"/>
        </w:rPr>
        <w:lastRenderedPageBreak/>
        <w:t>Por ello, se advierte que para llevar a cabo las licitaciones</w:t>
      </w:r>
      <w:r w:rsidR="00513F62" w:rsidRPr="00681CB2">
        <w:rPr>
          <w:rFonts w:ascii="Palatino Linotype" w:hAnsi="Palatino Linotype" w:cs="Arial"/>
        </w:rPr>
        <w:t xml:space="preserve"> debe existir y participar </w:t>
      </w:r>
      <w:r w:rsidRPr="00681CB2">
        <w:rPr>
          <w:rFonts w:ascii="Palatino Linotype" w:hAnsi="Palatino Linotype" w:cs="Arial"/>
        </w:rPr>
        <w:t xml:space="preserve">dentro del procedimiento un Comité de Adquisiciones, además de que el propio Reglamento Interno del Sujeto Obligado también lo menciona, en la </w:t>
      </w:r>
      <w:r w:rsidR="000E26A5" w:rsidRPr="00681CB2">
        <w:rPr>
          <w:rFonts w:ascii="Palatino Linotype" w:hAnsi="Palatino Linotype" w:cs="Arial"/>
        </w:rPr>
        <w:t>fracción</w:t>
      </w:r>
      <w:r w:rsidRPr="00681CB2">
        <w:rPr>
          <w:rFonts w:ascii="Palatino Linotype" w:hAnsi="Palatino Linotype" w:cs="Arial"/>
        </w:rPr>
        <w:t xml:space="preserve"> I del artículo 30, por ende se </w:t>
      </w:r>
      <w:r w:rsidR="00A15EDC" w:rsidRPr="00681CB2">
        <w:rPr>
          <w:rFonts w:ascii="Palatino Linotype" w:hAnsi="Palatino Linotype" w:cs="Arial"/>
        </w:rPr>
        <w:t>determina</w:t>
      </w:r>
      <w:r w:rsidRPr="00681CB2">
        <w:rPr>
          <w:rFonts w:ascii="Palatino Linotype" w:hAnsi="Palatino Linotype" w:cs="Arial"/>
        </w:rPr>
        <w:t xml:space="preserve"> procedente la entrega</w:t>
      </w:r>
      <w:r w:rsidR="00933B28" w:rsidRPr="00681CB2">
        <w:rPr>
          <w:rFonts w:ascii="Palatino Linotype" w:hAnsi="Palatino Linotype" w:cs="Arial"/>
        </w:rPr>
        <w:t xml:space="preserve"> de los dictámenes que se hayan emitido con motivo de la adjudicación en favor de la empresa materia de la solicitud</w:t>
      </w:r>
      <w:r w:rsidRPr="00681CB2">
        <w:rPr>
          <w:rFonts w:ascii="Palatino Linotype" w:hAnsi="Palatino Linotype" w:cs="Arial"/>
        </w:rPr>
        <w:t>.</w:t>
      </w:r>
    </w:p>
    <w:p w14:paraId="3CE4B06D" w14:textId="5CA2AB6F" w:rsidR="001B2911" w:rsidRPr="00681CB2" w:rsidRDefault="008E35F9" w:rsidP="008E35F9">
      <w:pPr>
        <w:spacing w:before="240" w:after="240" w:line="360" w:lineRule="auto"/>
        <w:jc w:val="both"/>
        <w:rPr>
          <w:rFonts w:ascii="Palatino Linotype" w:hAnsi="Palatino Linotype" w:cs="Arial"/>
        </w:rPr>
      </w:pPr>
      <w:r w:rsidRPr="00681CB2">
        <w:rPr>
          <w:rFonts w:ascii="Palatino Linotype" w:hAnsi="Palatino Linotype" w:cs="Arial"/>
        </w:rPr>
        <w:t>Por último, relativo a la s</w:t>
      </w:r>
      <w:r w:rsidR="001406AD" w:rsidRPr="00681CB2">
        <w:rPr>
          <w:rFonts w:ascii="Palatino Linotype" w:hAnsi="Palatino Linotype" w:cs="Arial"/>
        </w:rPr>
        <w:t>olicitud, señalado en la resolución como punto 6, relativo al acta u</w:t>
      </w:r>
      <w:r w:rsidR="006A31FC" w:rsidRPr="00681CB2">
        <w:rPr>
          <w:rFonts w:ascii="Palatino Linotype" w:hAnsi="Palatino Linotype" w:cs="Arial"/>
        </w:rPr>
        <w:t xml:space="preserve"> documento </w:t>
      </w:r>
      <w:r w:rsidR="001406AD" w:rsidRPr="00681CB2">
        <w:rPr>
          <w:rFonts w:ascii="Palatino Linotype" w:hAnsi="Palatino Linotype" w:cs="Arial"/>
        </w:rPr>
        <w:t xml:space="preserve">homólogo donde se compruebe la razón por la cual se </w:t>
      </w:r>
      <w:r w:rsidR="00B550FE" w:rsidRPr="00681CB2">
        <w:rPr>
          <w:rFonts w:ascii="Palatino Linotype" w:hAnsi="Palatino Linotype" w:cs="Arial"/>
        </w:rPr>
        <w:t>optó</w:t>
      </w:r>
      <w:r w:rsidR="001406AD" w:rsidRPr="00681CB2">
        <w:rPr>
          <w:rFonts w:ascii="Palatino Linotype" w:hAnsi="Palatino Linotype" w:cs="Arial"/>
        </w:rPr>
        <w:t xml:space="preserve"> por otro procedimiento</w:t>
      </w:r>
      <w:r w:rsidR="006A31FC" w:rsidRPr="00681CB2">
        <w:rPr>
          <w:rFonts w:ascii="Palatino Linotype" w:hAnsi="Palatino Linotype" w:cs="Arial"/>
        </w:rPr>
        <w:t xml:space="preserve"> diferente a la licitación pública</w:t>
      </w:r>
      <w:r w:rsidR="001406AD" w:rsidRPr="00681CB2">
        <w:rPr>
          <w:rFonts w:ascii="Palatino Linotype" w:hAnsi="Palatino Linotype" w:cs="Arial"/>
        </w:rPr>
        <w:t xml:space="preserve">, es de recordar que </w:t>
      </w:r>
      <w:r w:rsidR="00B550FE" w:rsidRPr="00681CB2">
        <w:rPr>
          <w:rFonts w:ascii="Palatino Linotype" w:hAnsi="Palatino Linotype" w:cs="Arial"/>
        </w:rPr>
        <w:t>el artículo 43 de la multicitada Ley de Contratación Pública, refiere que el Sujeto Obligado bajo su responsabilidad puede</w:t>
      </w:r>
      <w:r w:rsidR="006A31FC" w:rsidRPr="00681CB2">
        <w:rPr>
          <w:rFonts w:ascii="Palatino Linotype" w:hAnsi="Palatino Linotype" w:cs="Arial"/>
        </w:rPr>
        <w:t>n</w:t>
      </w:r>
      <w:r w:rsidR="00B550FE" w:rsidRPr="00681CB2">
        <w:rPr>
          <w:rFonts w:ascii="Palatino Linotype" w:hAnsi="Palatino Linotype" w:cs="Arial"/>
        </w:rPr>
        <w:t xml:space="preserve"> llevar a cabo procedimientos de excepción a la licitación pública, los cuales consisten en invitación restringida o adjudicación directa</w:t>
      </w:r>
      <w:r w:rsidR="001B2911" w:rsidRPr="00681CB2">
        <w:rPr>
          <w:rFonts w:ascii="Palatino Linotype" w:hAnsi="Palatino Linotype" w:cs="Arial"/>
        </w:rPr>
        <w:t xml:space="preserve">. La invitación restringida se determina que podrá ser procedente bajo dos supuestos: cuando se hubiera declarado desierto un procedimiento de licitación o cuando el importe de la operación no exceda los montos establecidos por el Presupuesto </w:t>
      </w:r>
      <w:r w:rsidR="006D6DC4" w:rsidRPr="00681CB2">
        <w:rPr>
          <w:rFonts w:ascii="Palatino Linotype" w:hAnsi="Palatino Linotype" w:cs="Arial"/>
        </w:rPr>
        <w:t>de Egresos del Gobierno del Estado de México del ejercicio correspondiente</w:t>
      </w:r>
      <w:r w:rsidR="006D6DC4" w:rsidRPr="00681CB2">
        <w:rPr>
          <w:rStyle w:val="Refdenotaalpie"/>
          <w:rFonts w:ascii="Palatino Linotype" w:hAnsi="Palatino Linotype" w:cs="Arial"/>
        </w:rPr>
        <w:footnoteReference w:id="11"/>
      </w:r>
      <w:r w:rsidR="006D6DC4" w:rsidRPr="00681CB2">
        <w:rPr>
          <w:rFonts w:ascii="Palatino Linotype" w:hAnsi="Palatino Linotype" w:cs="Arial"/>
        </w:rPr>
        <w:t>.</w:t>
      </w:r>
    </w:p>
    <w:p w14:paraId="3698A705" w14:textId="5A28CAC0" w:rsidR="00441C59" w:rsidRPr="00681CB2" w:rsidRDefault="00441C59" w:rsidP="008E35F9">
      <w:pPr>
        <w:spacing w:before="240" w:after="240" w:line="360" w:lineRule="auto"/>
        <w:jc w:val="both"/>
        <w:rPr>
          <w:rFonts w:ascii="Palatino Linotype" w:hAnsi="Palatino Linotype" w:cs="Arial"/>
        </w:rPr>
      </w:pPr>
      <w:r w:rsidRPr="00681CB2">
        <w:rPr>
          <w:rFonts w:ascii="Palatino Linotype" w:hAnsi="Palatino Linotype" w:cs="Arial"/>
        </w:rPr>
        <w:t>Por cuanto hace a la adjudicación directa, la Ley que lo regula contempla diversos supuestos para su procedencia, entre los que se encuentra la adquisición o servicio que se puedan realizar con determinada persona por ser el único o el arrendamiento de un bien inmueble por la</w:t>
      </w:r>
      <w:r w:rsidR="00600CE6" w:rsidRPr="00681CB2">
        <w:rPr>
          <w:rFonts w:ascii="Palatino Linotype" w:hAnsi="Palatino Linotype" w:cs="Arial"/>
        </w:rPr>
        <w:t xml:space="preserve"> </w:t>
      </w:r>
      <w:r w:rsidRPr="00681CB2">
        <w:rPr>
          <w:rFonts w:ascii="Palatino Linotype" w:hAnsi="Palatino Linotype" w:cs="Arial"/>
        </w:rPr>
        <w:t xml:space="preserve">misma circunstancia, </w:t>
      </w:r>
      <w:r w:rsidR="00600CE6" w:rsidRPr="00681CB2">
        <w:rPr>
          <w:rFonts w:ascii="Palatino Linotype" w:hAnsi="Palatino Linotype" w:cs="Arial"/>
        </w:rPr>
        <w:t>se urgente la adquis</w:t>
      </w:r>
      <w:r w:rsidR="000B21D3" w:rsidRPr="00681CB2">
        <w:rPr>
          <w:rFonts w:ascii="Palatino Linotype" w:hAnsi="Palatino Linotype" w:cs="Arial"/>
        </w:rPr>
        <w:t>ic</w:t>
      </w:r>
      <w:r w:rsidR="00600CE6" w:rsidRPr="00681CB2">
        <w:rPr>
          <w:rFonts w:ascii="Palatino Linotype" w:hAnsi="Palatino Linotype" w:cs="Arial"/>
        </w:rPr>
        <w:t xml:space="preserve">ión de los </w:t>
      </w:r>
      <w:r w:rsidR="00600CE6" w:rsidRPr="00681CB2">
        <w:rPr>
          <w:rFonts w:ascii="Palatino Linotype" w:hAnsi="Palatino Linotype" w:cs="Arial"/>
        </w:rPr>
        <w:lastRenderedPageBreak/>
        <w:t>bienes o servicios, se hubiere rescindido un contrato, entre otras que se contemplan en el artículo 48 del ordenamiento.</w:t>
      </w:r>
    </w:p>
    <w:p w14:paraId="454210A0" w14:textId="64916525" w:rsidR="00B550FE" w:rsidRPr="00681CB2" w:rsidRDefault="000B21D3" w:rsidP="008E35F9">
      <w:pPr>
        <w:spacing w:before="240" w:after="240" w:line="360" w:lineRule="auto"/>
        <w:jc w:val="both"/>
        <w:rPr>
          <w:rFonts w:ascii="Palatino Linotype" w:hAnsi="Palatino Linotype" w:cs="Arial"/>
        </w:rPr>
      </w:pPr>
      <w:r w:rsidRPr="00681CB2">
        <w:rPr>
          <w:rFonts w:ascii="Palatino Linotype" w:hAnsi="Palatino Linotype" w:cs="Arial"/>
        </w:rPr>
        <w:t xml:space="preserve">Por ello, para su realización y de conformidad </w:t>
      </w:r>
      <w:r w:rsidR="00B550FE" w:rsidRPr="00681CB2">
        <w:rPr>
          <w:rFonts w:ascii="Palatino Linotype" w:hAnsi="Palatino Linotype" w:cs="Arial"/>
        </w:rPr>
        <w:t>con el artículo 23 del mismo ordenamiento, el Comité de Adquisiciones será quien dictamine sobre la procedencia de la excepción a la licitación pública, como se observa en la siguiente fracción:</w:t>
      </w:r>
    </w:p>
    <w:p w14:paraId="23AAE322" w14:textId="798521AA" w:rsidR="00B550FE" w:rsidRPr="00681CB2" w:rsidRDefault="00B550FE" w:rsidP="00B550FE">
      <w:pPr>
        <w:pStyle w:val="paragraph"/>
        <w:spacing w:before="0" w:beforeAutospacing="0" w:after="0" w:afterAutospacing="0"/>
        <w:ind w:left="993" w:right="1041"/>
        <w:jc w:val="both"/>
        <w:textAlignment w:val="baseline"/>
        <w:rPr>
          <w:rStyle w:val="normaltextrun"/>
          <w:rFonts w:ascii="Palatino Linotype" w:hAnsi="Palatino Linotype" w:cs="Segoe UI"/>
          <w:i/>
          <w:iCs/>
          <w:sz w:val="22"/>
          <w:szCs w:val="22"/>
        </w:rPr>
      </w:pPr>
      <w:r w:rsidRPr="00681CB2">
        <w:rPr>
          <w:rStyle w:val="normaltextrun"/>
          <w:rFonts w:ascii="Palatino Linotype" w:hAnsi="Palatino Linotype" w:cs="Segoe UI"/>
          <w:b/>
          <w:i/>
          <w:iCs/>
          <w:sz w:val="22"/>
          <w:szCs w:val="22"/>
        </w:rPr>
        <w:t xml:space="preserve">“Artículo 23.- </w:t>
      </w:r>
      <w:r w:rsidRPr="00681CB2">
        <w:rPr>
          <w:rStyle w:val="normaltextrun"/>
          <w:rFonts w:ascii="Palatino Linotype" w:hAnsi="Palatino Linotype" w:cs="Segoe UI"/>
          <w:i/>
          <w:iCs/>
          <w:sz w:val="22"/>
          <w:szCs w:val="22"/>
        </w:rPr>
        <w:t xml:space="preserve">Los comités de adquisiciones y de servicios tendrán las funciones siguientes: </w:t>
      </w:r>
    </w:p>
    <w:p w14:paraId="03696F52" w14:textId="7FF5410B" w:rsidR="00B550FE" w:rsidRPr="00681CB2" w:rsidRDefault="00B550FE" w:rsidP="00B550FE">
      <w:pPr>
        <w:pStyle w:val="paragraph"/>
        <w:numPr>
          <w:ilvl w:val="0"/>
          <w:numId w:val="34"/>
        </w:numPr>
        <w:spacing w:before="0" w:beforeAutospacing="0" w:after="0" w:afterAutospacing="0"/>
        <w:ind w:right="1041"/>
        <w:jc w:val="both"/>
        <w:textAlignment w:val="baseline"/>
        <w:rPr>
          <w:rStyle w:val="normaltextrun"/>
          <w:rFonts w:ascii="Palatino Linotype" w:hAnsi="Palatino Linotype" w:cs="Segoe UI"/>
          <w:i/>
          <w:iCs/>
          <w:sz w:val="22"/>
          <w:szCs w:val="22"/>
        </w:rPr>
      </w:pPr>
      <w:r w:rsidRPr="00681CB2">
        <w:rPr>
          <w:rStyle w:val="normaltextrun"/>
          <w:rFonts w:ascii="Palatino Linotype" w:hAnsi="Palatino Linotype" w:cs="Segoe UI"/>
          <w:i/>
          <w:iCs/>
          <w:sz w:val="22"/>
          <w:szCs w:val="22"/>
        </w:rPr>
        <w:t>Dictaminar sobre la procedencia de los casos de excepción al procedimiento de licitación pública.</w:t>
      </w:r>
    </w:p>
    <w:p w14:paraId="0C944353" w14:textId="77777777" w:rsidR="00B550FE" w:rsidRPr="00681CB2" w:rsidRDefault="00B550FE" w:rsidP="00B550FE">
      <w:pPr>
        <w:pStyle w:val="paragraph"/>
        <w:spacing w:before="0" w:beforeAutospacing="0" w:after="0" w:afterAutospacing="0"/>
        <w:ind w:left="1713" w:right="1041"/>
        <w:jc w:val="both"/>
        <w:textAlignment w:val="baseline"/>
        <w:rPr>
          <w:rStyle w:val="normaltextrun"/>
          <w:rFonts w:ascii="Palatino Linotype" w:hAnsi="Palatino Linotype" w:cs="Segoe UI"/>
          <w:i/>
          <w:iCs/>
          <w:sz w:val="22"/>
          <w:szCs w:val="22"/>
        </w:rPr>
      </w:pPr>
      <w:r w:rsidRPr="00681CB2">
        <w:rPr>
          <w:rStyle w:val="normaltextrun"/>
          <w:rFonts w:ascii="Palatino Linotype" w:hAnsi="Palatino Linotype" w:cs="Segoe UI"/>
          <w:i/>
          <w:iCs/>
          <w:sz w:val="22"/>
          <w:szCs w:val="22"/>
        </w:rPr>
        <w:t>…”</w:t>
      </w:r>
    </w:p>
    <w:p w14:paraId="26A069F1" w14:textId="644F01F5" w:rsidR="0050712E" w:rsidRPr="00681CB2" w:rsidRDefault="00B550FE" w:rsidP="00B550FE">
      <w:pPr>
        <w:spacing w:before="240" w:after="240" w:line="360" w:lineRule="auto"/>
        <w:jc w:val="both"/>
        <w:rPr>
          <w:rFonts w:ascii="Palatino Linotype" w:hAnsi="Palatino Linotype" w:cs="Arial"/>
        </w:rPr>
      </w:pPr>
      <w:r w:rsidRPr="00681CB2">
        <w:rPr>
          <w:rFonts w:ascii="Palatino Linotype" w:hAnsi="Palatino Linotype" w:cs="Arial"/>
        </w:rPr>
        <w:t>Con base en lo anterior, es que se determina procedente ordenar el dictamen de procedencia en los casos de excepción al procedimiento de licitación que se hubieran generado en favor de las empresas mencionadas.</w:t>
      </w:r>
      <w:r w:rsidR="0050712E" w:rsidRPr="00681CB2">
        <w:rPr>
          <w:rFonts w:ascii="Palatino Linotype" w:hAnsi="Palatino Linotype" w:cs="Arial"/>
        </w:rPr>
        <w:t xml:space="preserve"> </w:t>
      </w:r>
    </w:p>
    <w:p w14:paraId="0A688703" w14:textId="1D825E2F" w:rsidR="007A23C9" w:rsidRPr="00681CB2" w:rsidRDefault="0050712E" w:rsidP="009A359D">
      <w:pPr>
        <w:spacing w:before="240" w:after="240" w:line="360" w:lineRule="auto"/>
        <w:jc w:val="both"/>
        <w:rPr>
          <w:rFonts w:ascii="Palatino Linotype" w:hAnsi="Palatino Linotype" w:cs="Arial"/>
        </w:rPr>
      </w:pPr>
      <w:r w:rsidRPr="00681CB2">
        <w:rPr>
          <w:rFonts w:ascii="Palatino Linotype" w:hAnsi="Palatino Linotype" w:cs="Arial"/>
        </w:rPr>
        <w:t>En cuanto a los ejercicios fiscales referidos, como ya se ha determinado</w:t>
      </w:r>
      <w:r w:rsidR="009B11E0" w:rsidRPr="00681CB2">
        <w:rPr>
          <w:rFonts w:ascii="Palatino Linotype" w:hAnsi="Palatino Linotype" w:cs="Arial"/>
        </w:rPr>
        <w:t xml:space="preserve"> en párrafos anteriores,</w:t>
      </w:r>
      <w:r w:rsidRPr="00681CB2">
        <w:rPr>
          <w:rFonts w:ascii="Palatino Linotype" w:hAnsi="Palatino Linotype" w:cs="Arial"/>
        </w:rPr>
        <w:t xml:space="preserve"> se ordenará la entrega a partir del ejercicio 2012 a 2018 y en caso de no contar con </w:t>
      </w:r>
      <w:r w:rsidR="009B11E0" w:rsidRPr="00681CB2">
        <w:rPr>
          <w:rFonts w:ascii="Palatino Linotype" w:hAnsi="Palatino Linotype" w:cs="Arial"/>
        </w:rPr>
        <w:t xml:space="preserve">alguno de los </w:t>
      </w:r>
      <w:r w:rsidRPr="00681CB2">
        <w:rPr>
          <w:rFonts w:ascii="Palatino Linotype" w:hAnsi="Palatino Linotype" w:cs="Arial"/>
        </w:rPr>
        <w:t xml:space="preserve">años </w:t>
      </w:r>
      <w:r w:rsidR="009B11E0" w:rsidRPr="00681CB2">
        <w:rPr>
          <w:rFonts w:ascii="Palatino Linotype" w:hAnsi="Palatino Linotype" w:cs="Arial"/>
        </w:rPr>
        <w:t xml:space="preserve"> a causa de su antigüedad se deberá emitir el acuerdo que confirme de inexistencia como fue precisado con antelación.</w:t>
      </w:r>
    </w:p>
    <w:p w14:paraId="05783724" w14:textId="671045A5" w:rsidR="009A359D" w:rsidRPr="00681CB2" w:rsidRDefault="009A359D" w:rsidP="009A359D">
      <w:pPr>
        <w:spacing w:before="240" w:after="240" w:line="360" w:lineRule="auto"/>
        <w:jc w:val="both"/>
        <w:rPr>
          <w:rFonts w:ascii="Palatino Linotype" w:hAnsi="Palatino Linotype" w:cs="Arial"/>
          <w:lang w:val="es-MX" w:eastAsia="es-MX"/>
        </w:rPr>
      </w:pPr>
      <w:r w:rsidRPr="00681CB2">
        <w:rPr>
          <w:rFonts w:ascii="Palatino Linotype" w:hAnsi="Palatino Linotype"/>
          <w:b/>
        </w:rPr>
        <w:t xml:space="preserve">Quinto. Versión Pública. </w:t>
      </w:r>
      <w:r w:rsidRPr="00681CB2">
        <w:rPr>
          <w:rFonts w:ascii="Palatino Linotype" w:hAnsi="Palatino Linotype"/>
        </w:rPr>
        <w:t xml:space="preserve">Finalmente, debe señalarse que de ser el caso en que los documentos que vayan a ser entregados por el Organismo Público Descentralizado para la Prestación de Los  Servicios de Agua Potable Alcantarillado y Saneamiento </w:t>
      </w:r>
      <w:r w:rsidRPr="00681CB2">
        <w:rPr>
          <w:rFonts w:ascii="Palatino Linotype" w:hAnsi="Palatino Linotype"/>
        </w:rPr>
        <w:lastRenderedPageBreak/>
        <w:t xml:space="preserve">del Municipio de </w:t>
      </w:r>
      <w:r w:rsidR="002B71DE" w:rsidRPr="00681CB2">
        <w:rPr>
          <w:rFonts w:ascii="Palatino Linotype" w:hAnsi="Palatino Linotype"/>
        </w:rPr>
        <w:t>Tlalnepantla de Baz</w:t>
      </w:r>
      <w:r w:rsidRPr="00681CB2">
        <w:rPr>
          <w:rFonts w:ascii="Palatino Linotype" w:hAnsi="Palatino Linotype"/>
        </w:rPr>
        <w:t>,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6FE8223D" w14:textId="77777777" w:rsidR="009A359D" w:rsidRPr="00681CB2" w:rsidRDefault="009A359D" w:rsidP="009A359D">
      <w:pPr>
        <w:autoSpaceDE w:val="0"/>
        <w:autoSpaceDN w:val="0"/>
        <w:adjustRightInd w:val="0"/>
        <w:spacing w:before="240" w:after="240" w:line="360" w:lineRule="auto"/>
        <w:ind w:right="50"/>
        <w:jc w:val="both"/>
        <w:rPr>
          <w:rFonts w:ascii="Palatino Linotype" w:hAnsi="Palatino Linotype" w:cs="Arial"/>
        </w:rPr>
      </w:pPr>
      <w:r w:rsidRPr="00681CB2">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377666E9" w14:textId="77777777" w:rsidR="009A359D" w:rsidRPr="00681CB2" w:rsidRDefault="009A359D" w:rsidP="009A359D">
      <w:pPr>
        <w:autoSpaceDE w:val="0"/>
        <w:autoSpaceDN w:val="0"/>
        <w:adjustRightInd w:val="0"/>
        <w:ind w:left="993" w:right="1041"/>
        <w:jc w:val="both"/>
        <w:rPr>
          <w:rFonts w:ascii="Palatino Linotype" w:hAnsi="Palatino Linotype" w:cs="Arial"/>
          <w:b/>
          <w:i/>
          <w:sz w:val="22"/>
          <w:szCs w:val="22"/>
        </w:rPr>
      </w:pPr>
      <w:r w:rsidRPr="00681CB2">
        <w:rPr>
          <w:rFonts w:ascii="Palatino Linotype" w:hAnsi="Palatino Linotype" w:cs="Arial"/>
          <w:b/>
          <w:i/>
          <w:sz w:val="22"/>
          <w:szCs w:val="22"/>
        </w:rPr>
        <w:t xml:space="preserve"> “Artículo 3. Para los efectos de la presente Ley se entenderá por:</w:t>
      </w:r>
    </w:p>
    <w:p w14:paraId="5456D016" w14:textId="77777777" w:rsidR="009A359D" w:rsidRPr="00681CB2" w:rsidRDefault="009A359D" w:rsidP="009A359D">
      <w:pPr>
        <w:autoSpaceDE w:val="0"/>
        <w:autoSpaceDN w:val="0"/>
        <w:adjustRightInd w:val="0"/>
        <w:ind w:left="993" w:right="1041"/>
        <w:jc w:val="both"/>
        <w:rPr>
          <w:rFonts w:ascii="Palatino Linotype" w:hAnsi="Palatino Linotype" w:cs="Arial"/>
          <w:i/>
          <w:sz w:val="22"/>
          <w:szCs w:val="22"/>
        </w:rPr>
      </w:pPr>
      <w:r w:rsidRPr="00681CB2">
        <w:rPr>
          <w:rFonts w:ascii="Palatino Linotype" w:hAnsi="Palatino Linotype" w:cs="Arial"/>
          <w:b/>
          <w:i/>
          <w:sz w:val="22"/>
          <w:szCs w:val="22"/>
        </w:rPr>
        <w:t>IX. Datos personales:</w:t>
      </w:r>
      <w:r w:rsidRPr="00681CB2">
        <w:rPr>
          <w:rFonts w:ascii="Palatino Linotype" w:hAnsi="Palatino Linotype" w:cs="Arial"/>
          <w:i/>
          <w:sz w:val="22"/>
          <w:szCs w:val="22"/>
        </w:rPr>
        <w:t xml:space="preserve"> </w:t>
      </w:r>
      <w:r w:rsidRPr="00681CB2">
        <w:rPr>
          <w:rFonts w:ascii="Palatino Linotype" w:hAnsi="Palatino Linotype" w:cs="Arial"/>
          <w:b/>
          <w:i/>
          <w:sz w:val="22"/>
          <w:szCs w:val="22"/>
        </w:rPr>
        <w:t>La información concerniente a una persona, identificada o identificable</w:t>
      </w:r>
      <w:r w:rsidRPr="00681CB2">
        <w:rPr>
          <w:rFonts w:ascii="Palatino Linotype" w:hAnsi="Palatino Linotype" w:cs="Arial"/>
          <w:i/>
          <w:sz w:val="22"/>
          <w:szCs w:val="22"/>
        </w:rPr>
        <w:t xml:space="preserve"> según lo dispuesto por la Ley de Protección de Datos Personales del Estado de México;</w:t>
      </w:r>
    </w:p>
    <w:p w14:paraId="2179B4DC" w14:textId="77777777" w:rsidR="009A359D" w:rsidRPr="00681CB2" w:rsidRDefault="009A359D" w:rsidP="009A359D">
      <w:pPr>
        <w:autoSpaceDE w:val="0"/>
        <w:autoSpaceDN w:val="0"/>
        <w:adjustRightInd w:val="0"/>
        <w:ind w:left="993" w:right="1041"/>
        <w:jc w:val="both"/>
        <w:rPr>
          <w:rFonts w:ascii="Palatino Linotype" w:hAnsi="Palatino Linotype" w:cs="Arial"/>
          <w:i/>
          <w:sz w:val="22"/>
          <w:szCs w:val="22"/>
        </w:rPr>
      </w:pPr>
      <w:r w:rsidRPr="00681CB2">
        <w:rPr>
          <w:rFonts w:ascii="Palatino Linotype" w:hAnsi="Palatino Linotype" w:cs="Arial"/>
          <w:b/>
          <w:i/>
          <w:sz w:val="22"/>
          <w:szCs w:val="22"/>
        </w:rPr>
        <w:t>XX. Información clasificada:</w:t>
      </w:r>
      <w:r w:rsidRPr="00681CB2">
        <w:rPr>
          <w:rFonts w:ascii="Palatino Linotype" w:hAnsi="Palatino Linotype" w:cs="Arial"/>
          <w:i/>
          <w:sz w:val="22"/>
          <w:szCs w:val="22"/>
        </w:rPr>
        <w:t xml:space="preserve"> Aquella considerada por la presente Ley como reservada o confidencial;</w:t>
      </w:r>
    </w:p>
    <w:p w14:paraId="551C1FBB" w14:textId="77777777" w:rsidR="009A359D" w:rsidRPr="00681CB2" w:rsidRDefault="009A359D" w:rsidP="009A359D">
      <w:pPr>
        <w:autoSpaceDE w:val="0"/>
        <w:autoSpaceDN w:val="0"/>
        <w:adjustRightInd w:val="0"/>
        <w:ind w:left="993" w:right="1041"/>
        <w:jc w:val="both"/>
        <w:rPr>
          <w:rFonts w:ascii="Palatino Linotype" w:hAnsi="Palatino Linotype"/>
          <w:i/>
          <w:sz w:val="22"/>
          <w:szCs w:val="22"/>
        </w:rPr>
      </w:pPr>
      <w:r w:rsidRPr="00681CB2">
        <w:rPr>
          <w:rFonts w:ascii="Palatino Linotype" w:hAnsi="Palatino Linotype"/>
          <w:b/>
          <w:i/>
          <w:sz w:val="22"/>
          <w:szCs w:val="22"/>
        </w:rPr>
        <w:t>XXXII. Protección de Datos Personales:</w:t>
      </w:r>
      <w:r w:rsidRPr="00681CB2">
        <w:rPr>
          <w:rFonts w:ascii="Palatino Linotype" w:hAnsi="Palatino Linotype"/>
          <w:i/>
          <w:sz w:val="22"/>
          <w:szCs w:val="22"/>
        </w:rPr>
        <w:t xml:space="preserve"> Derecho humano que tutela la privacidad de datos personales en poder de los sujetos obligados y sujetos particulares;</w:t>
      </w:r>
    </w:p>
    <w:p w14:paraId="32FA3189" w14:textId="77777777" w:rsidR="009A359D" w:rsidRPr="00681CB2" w:rsidRDefault="009A359D" w:rsidP="009A359D">
      <w:pPr>
        <w:autoSpaceDE w:val="0"/>
        <w:autoSpaceDN w:val="0"/>
        <w:adjustRightInd w:val="0"/>
        <w:ind w:left="993" w:right="1041"/>
        <w:jc w:val="both"/>
        <w:rPr>
          <w:rFonts w:ascii="Palatino Linotype" w:hAnsi="Palatino Linotype" w:cs="Arial"/>
          <w:i/>
          <w:sz w:val="22"/>
          <w:szCs w:val="22"/>
        </w:rPr>
      </w:pPr>
      <w:r w:rsidRPr="00681CB2">
        <w:rPr>
          <w:rFonts w:ascii="Palatino Linotype" w:hAnsi="Palatino Linotype" w:cs="Arial"/>
          <w:b/>
          <w:i/>
          <w:sz w:val="22"/>
          <w:szCs w:val="22"/>
        </w:rPr>
        <w:t>XLV. Versión pública</w:t>
      </w:r>
      <w:r w:rsidRPr="00681CB2">
        <w:rPr>
          <w:rFonts w:ascii="Palatino Linotype" w:hAnsi="Palatino Linotype" w:cs="Arial"/>
          <w:i/>
          <w:sz w:val="22"/>
          <w:szCs w:val="22"/>
        </w:rPr>
        <w:t>: Documento en el que se elimine, suprime o borra la información clasificada como reservada o confidencial para permitir su acceso.”</w:t>
      </w:r>
    </w:p>
    <w:p w14:paraId="434B1E20" w14:textId="77777777" w:rsidR="009A359D" w:rsidRPr="00681CB2" w:rsidRDefault="009A359D" w:rsidP="009A359D">
      <w:pPr>
        <w:autoSpaceDE w:val="0"/>
        <w:autoSpaceDN w:val="0"/>
        <w:adjustRightInd w:val="0"/>
        <w:ind w:left="993" w:right="1041"/>
        <w:jc w:val="both"/>
        <w:rPr>
          <w:rFonts w:ascii="Palatino Linotype" w:hAnsi="Palatino Linotype" w:cs="Arial"/>
          <w:i/>
          <w:sz w:val="22"/>
          <w:szCs w:val="22"/>
        </w:rPr>
      </w:pPr>
    </w:p>
    <w:p w14:paraId="33CF84CC" w14:textId="77777777" w:rsidR="009A359D" w:rsidRPr="00681CB2" w:rsidRDefault="009A359D" w:rsidP="009A359D">
      <w:pPr>
        <w:ind w:left="993" w:right="1041"/>
        <w:contextualSpacing/>
        <w:jc w:val="both"/>
        <w:rPr>
          <w:rFonts w:ascii="Palatino Linotype" w:hAnsi="Palatino Linotype"/>
          <w:i/>
          <w:sz w:val="22"/>
          <w:szCs w:val="22"/>
        </w:rPr>
      </w:pPr>
      <w:r w:rsidRPr="00681CB2">
        <w:rPr>
          <w:rFonts w:ascii="Palatino Linotype" w:hAnsi="Palatino Linotype"/>
          <w:b/>
          <w:i/>
          <w:sz w:val="22"/>
          <w:szCs w:val="22"/>
        </w:rPr>
        <w:t>“Artículo 6.</w:t>
      </w:r>
      <w:r w:rsidRPr="00681CB2">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w:t>
      </w:r>
      <w:r w:rsidRPr="00681CB2">
        <w:rPr>
          <w:rFonts w:ascii="Palatino Linotype" w:hAnsi="Palatino Linotype"/>
          <w:i/>
          <w:sz w:val="22"/>
          <w:szCs w:val="22"/>
        </w:rPr>
        <w:lastRenderedPageBreak/>
        <w:t>en materia de datos personales, se deberá estar a lo dispuesto en las leyes de la materia.”</w:t>
      </w:r>
    </w:p>
    <w:p w14:paraId="3B26516A" w14:textId="77777777" w:rsidR="009A359D" w:rsidRPr="00681CB2" w:rsidRDefault="009A359D" w:rsidP="009A359D">
      <w:pPr>
        <w:ind w:left="993" w:right="1041"/>
        <w:contextualSpacing/>
        <w:jc w:val="both"/>
        <w:rPr>
          <w:rFonts w:ascii="Palatino Linotype" w:hAnsi="Palatino Linotype" w:cs="Arial"/>
          <w:bCs/>
          <w:i/>
          <w:noProof/>
          <w:sz w:val="22"/>
          <w:szCs w:val="22"/>
        </w:rPr>
      </w:pPr>
    </w:p>
    <w:p w14:paraId="480E180A" w14:textId="77777777" w:rsidR="009A359D" w:rsidRPr="00681CB2" w:rsidRDefault="009A359D" w:rsidP="009A359D">
      <w:pPr>
        <w:spacing w:before="240"/>
        <w:ind w:left="993" w:right="1041"/>
        <w:contextualSpacing/>
        <w:jc w:val="both"/>
        <w:rPr>
          <w:rFonts w:ascii="Palatino Linotype" w:hAnsi="Palatino Linotype" w:cs="Arial"/>
          <w:b/>
          <w:bCs/>
          <w:i/>
          <w:noProof/>
          <w:color w:val="FF0000"/>
          <w:sz w:val="22"/>
          <w:szCs w:val="22"/>
        </w:rPr>
      </w:pPr>
      <w:r w:rsidRPr="00681CB2">
        <w:rPr>
          <w:rFonts w:ascii="Palatino Linotype" w:hAnsi="Palatino Linotype"/>
          <w:b/>
          <w:i/>
          <w:sz w:val="22"/>
          <w:szCs w:val="22"/>
        </w:rPr>
        <w:t>“Artículo 137.</w:t>
      </w:r>
      <w:r w:rsidRPr="00681CB2">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FBD0AE0" w14:textId="77777777" w:rsidR="009A359D" w:rsidRPr="00681CB2" w:rsidRDefault="009A359D" w:rsidP="009A359D">
      <w:pPr>
        <w:spacing w:before="240"/>
        <w:ind w:left="993" w:right="1041"/>
        <w:contextualSpacing/>
        <w:jc w:val="both"/>
        <w:rPr>
          <w:rFonts w:ascii="Palatino Linotype" w:hAnsi="Palatino Linotype" w:cs="Arial"/>
          <w:b/>
          <w:bCs/>
          <w:i/>
          <w:noProof/>
          <w:color w:val="FF0000"/>
          <w:sz w:val="22"/>
          <w:szCs w:val="22"/>
        </w:rPr>
      </w:pPr>
    </w:p>
    <w:p w14:paraId="72572C02" w14:textId="77777777" w:rsidR="009A359D" w:rsidRPr="00681CB2" w:rsidRDefault="009A359D" w:rsidP="009A359D">
      <w:pPr>
        <w:spacing w:before="240"/>
        <w:ind w:left="993" w:right="1041"/>
        <w:contextualSpacing/>
        <w:jc w:val="both"/>
        <w:rPr>
          <w:rFonts w:ascii="Palatino Linotype" w:hAnsi="Palatino Linotype"/>
          <w:i/>
          <w:sz w:val="22"/>
          <w:szCs w:val="22"/>
        </w:rPr>
      </w:pPr>
      <w:r w:rsidRPr="00681CB2">
        <w:rPr>
          <w:rFonts w:ascii="Palatino Linotype" w:hAnsi="Palatino Linotype"/>
          <w:b/>
          <w:i/>
          <w:sz w:val="22"/>
          <w:szCs w:val="22"/>
        </w:rPr>
        <w:t>“Artículo 143</w:t>
      </w:r>
      <w:r w:rsidRPr="00681CB2">
        <w:rPr>
          <w:rFonts w:ascii="Palatino Linotype" w:hAnsi="Palatino Linotype"/>
          <w:i/>
          <w:sz w:val="22"/>
          <w:szCs w:val="22"/>
        </w:rPr>
        <w:t>. Para los efectos de esta Ley se considera información confidencial, la clasificada como tal, de manera permanente, por su naturaleza, cuando:</w:t>
      </w:r>
    </w:p>
    <w:p w14:paraId="15403381" w14:textId="77777777" w:rsidR="009A359D" w:rsidRPr="00681CB2" w:rsidRDefault="009A359D" w:rsidP="009A359D">
      <w:pPr>
        <w:spacing w:before="240"/>
        <w:ind w:left="993" w:right="1041"/>
        <w:contextualSpacing/>
        <w:jc w:val="both"/>
        <w:rPr>
          <w:rFonts w:ascii="Palatino Linotype" w:hAnsi="Palatino Linotype"/>
          <w:i/>
        </w:rPr>
      </w:pPr>
      <w:r w:rsidRPr="00681CB2">
        <w:rPr>
          <w:rFonts w:ascii="Palatino Linotype" w:hAnsi="Palatino Linotype"/>
          <w:b/>
          <w:i/>
          <w:sz w:val="22"/>
          <w:szCs w:val="22"/>
        </w:rPr>
        <w:t>I.</w:t>
      </w:r>
      <w:r w:rsidRPr="00681CB2">
        <w:rPr>
          <w:rFonts w:ascii="Palatino Linotype" w:hAnsi="Palatino Linotype"/>
          <w:i/>
          <w:sz w:val="22"/>
          <w:szCs w:val="22"/>
        </w:rPr>
        <w:t xml:space="preserve"> </w:t>
      </w:r>
      <w:r w:rsidRPr="00681CB2">
        <w:rPr>
          <w:rFonts w:ascii="Palatino Linotype" w:hAnsi="Palatino Linotype"/>
          <w:b/>
          <w:i/>
          <w:sz w:val="22"/>
          <w:szCs w:val="22"/>
        </w:rPr>
        <w:t>Se refiera a la información privada y los datos personales concernientes a una persona física o jurídico colectiva identificada o identificable</w:t>
      </w:r>
      <w:r w:rsidRPr="00681CB2">
        <w:rPr>
          <w:rFonts w:ascii="Palatino Linotype" w:hAnsi="Palatino Linotype"/>
          <w:i/>
          <w:sz w:val="22"/>
          <w:szCs w:val="22"/>
        </w:rPr>
        <w:t>…”</w:t>
      </w:r>
    </w:p>
    <w:p w14:paraId="5B048932" w14:textId="77777777" w:rsidR="009A359D" w:rsidRPr="00681CB2" w:rsidRDefault="009A359D" w:rsidP="009A359D">
      <w:pPr>
        <w:autoSpaceDE w:val="0"/>
        <w:autoSpaceDN w:val="0"/>
        <w:adjustRightInd w:val="0"/>
        <w:spacing w:before="240" w:after="240" w:line="360" w:lineRule="auto"/>
        <w:ind w:right="50"/>
        <w:jc w:val="both"/>
        <w:rPr>
          <w:rFonts w:ascii="Palatino Linotype" w:hAnsi="Palatino Linotype" w:cs="Arial"/>
        </w:rPr>
      </w:pPr>
      <w:r w:rsidRPr="00681CB2">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581018E2" w14:textId="77777777" w:rsidR="009A359D" w:rsidRPr="00681CB2" w:rsidRDefault="009A359D" w:rsidP="009A359D">
      <w:pPr>
        <w:autoSpaceDE w:val="0"/>
        <w:autoSpaceDN w:val="0"/>
        <w:adjustRightInd w:val="0"/>
        <w:spacing w:before="240" w:after="240" w:line="360" w:lineRule="auto"/>
        <w:ind w:right="50"/>
        <w:jc w:val="both"/>
        <w:rPr>
          <w:rFonts w:ascii="Palatino Linotype" w:hAnsi="Palatino Linotype" w:cs="Arial"/>
        </w:rPr>
      </w:pPr>
      <w:r w:rsidRPr="00681CB2">
        <w:rPr>
          <w:rFonts w:ascii="Palatino Linotype" w:hAnsi="Palatino Linotype" w:cs="Arial"/>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C976825" w14:textId="6A3E3C80" w:rsidR="009A359D" w:rsidRPr="00681CB2" w:rsidRDefault="009A359D" w:rsidP="009A359D">
      <w:pPr>
        <w:autoSpaceDE w:val="0"/>
        <w:autoSpaceDN w:val="0"/>
        <w:adjustRightInd w:val="0"/>
        <w:spacing w:before="240" w:after="240" w:line="360" w:lineRule="auto"/>
        <w:ind w:right="50"/>
        <w:jc w:val="both"/>
        <w:rPr>
          <w:rFonts w:ascii="Palatino Linotype" w:hAnsi="Palatino Linotype" w:cs="Arial"/>
        </w:rPr>
      </w:pPr>
      <w:r w:rsidRPr="00681CB2">
        <w:rPr>
          <w:rFonts w:ascii="Palatino Linotype" w:eastAsia="Arial Unicode MS" w:hAnsi="Palatino Linotype" w:cs="Arial"/>
        </w:rPr>
        <w:t>E</w:t>
      </w:r>
      <w:r w:rsidRPr="00681CB2">
        <w:rPr>
          <w:rFonts w:ascii="Palatino Linotype" w:hAnsi="Palatino Linotype"/>
        </w:rPr>
        <w:t xml:space="preserve">n el caso específico en los documentos que se ordenan, pudieran obrar datos que son considerados confidenciales, cuyo acceso debe ser restringido, los cuales </w:t>
      </w:r>
      <w:r w:rsidRPr="00681CB2">
        <w:rPr>
          <w:rFonts w:ascii="Palatino Linotype" w:hAnsi="Palatino Linotype" w:cs="Arial"/>
        </w:rPr>
        <w:t>deben testarse al momento de la elaboración de versione</w:t>
      </w:r>
      <w:r w:rsidR="008E24F2" w:rsidRPr="00681CB2">
        <w:rPr>
          <w:rFonts w:ascii="Palatino Linotype" w:hAnsi="Palatino Linotype" w:cs="Arial"/>
        </w:rPr>
        <w:t>s públicas, como es el caso de la</w:t>
      </w:r>
      <w:r w:rsidRPr="00681CB2">
        <w:rPr>
          <w:rFonts w:ascii="Palatino Linotype" w:hAnsi="Palatino Linotype" w:cs="Arial"/>
        </w:rPr>
        <w:t xml:space="preserve"> </w:t>
      </w:r>
      <w:r w:rsidRPr="00681CB2">
        <w:rPr>
          <w:rFonts w:ascii="Palatino Linotype" w:hAnsi="Palatino Linotype" w:cs="Arial"/>
          <w:b/>
        </w:rPr>
        <w:t>Clave Única de Registro de Población</w:t>
      </w:r>
      <w:r w:rsidRPr="00681CB2">
        <w:rPr>
          <w:rFonts w:ascii="Palatino Linotype" w:hAnsi="Palatino Linotype" w:cs="Arial"/>
        </w:rPr>
        <w:t xml:space="preserve"> (CURP), la </w:t>
      </w:r>
      <w:r w:rsidRPr="00681CB2">
        <w:rPr>
          <w:rFonts w:ascii="Palatino Linotype" w:hAnsi="Palatino Linotype" w:cs="Arial"/>
          <w:b/>
        </w:rPr>
        <w:t>firma de los</w:t>
      </w:r>
      <w:r w:rsidRPr="00681CB2">
        <w:rPr>
          <w:rFonts w:ascii="Palatino Linotype" w:hAnsi="Palatino Linotype" w:cs="Arial"/>
        </w:rPr>
        <w:t xml:space="preserve"> </w:t>
      </w:r>
      <w:r w:rsidRPr="00681CB2">
        <w:rPr>
          <w:rFonts w:ascii="Palatino Linotype" w:hAnsi="Palatino Linotype" w:cs="Arial"/>
          <w:b/>
        </w:rPr>
        <w:t>particulares</w:t>
      </w:r>
      <w:r w:rsidRPr="00681CB2">
        <w:rPr>
          <w:rFonts w:ascii="Palatino Linotype" w:hAnsi="Palatino Linotype" w:cs="Arial"/>
        </w:rPr>
        <w:t xml:space="preserve"> y cualquier otro dato que por su naturaleza confidencial pudiera conllevar un riesgo grave para la esfera privada de los servidores públicos.</w:t>
      </w:r>
    </w:p>
    <w:p w14:paraId="7880111A" w14:textId="77777777" w:rsidR="00170EC6" w:rsidRPr="00681CB2" w:rsidRDefault="00170EC6" w:rsidP="00170EC6">
      <w:pPr>
        <w:autoSpaceDE w:val="0"/>
        <w:autoSpaceDN w:val="0"/>
        <w:adjustRightInd w:val="0"/>
        <w:spacing w:before="240" w:after="240" w:line="360" w:lineRule="auto"/>
        <w:ind w:right="50"/>
        <w:jc w:val="both"/>
        <w:rPr>
          <w:rFonts w:ascii="Palatino Linotype" w:hAnsi="Palatino Linotype" w:cs="Arial"/>
        </w:rPr>
      </w:pPr>
      <w:r w:rsidRPr="00681CB2">
        <w:rPr>
          <w:rFonts w:ascii="Palatino Linotype" w:hAnsi="Palatino Linotype" w:cs="Arial"/>
        </w:rPr>
        <w:t>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641D029C" w14:textId="77777777" w:rsidR="00170EC6" w:rsidRPr="00681CB2" w:rsidRDefault="00170EC6" w:rsidP="00170EC6">
      <w:pPr>
        <w:autoSpaceDE w:val="0"/>
        <w:autoSpaceDN w:val="0"/>
        <w:adjustRightInd w:val="0"/>
        <w:spacing w:before="240" w:after="240" w:line="360" w:lineRule="auto"/>
        <w:ind w:right="50"/>
        <w:jc w:val="both"/>
        <w:rPr>
          <w:rFonts w:ascii="Palatino Linotype" w:hAnsi="Palatino Linotype" w:cs="Arial"/>
        </w:rPr>
      </w:pPr>
      <w:r w:rsidRPr="00681CB2">
        <w:rPr>
          <w:rFonts w:ascii="Palatino Linotype" w:hAnsi="Palatino Linotype" w:cs="Arial"/>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w:t>
      </w:r>
      <w:r w:rsidRPr="00681CB2">
        <w:rPr>
          <w:rFonts w:ascii="Palatino Linotype" w:hAnsi="Palatino Linotype" w:cs="Arial"/>
        </w:rPr>
        <w:lastRenderedPageBreak/>
        <w:t>contribuciones aportados por los gobernados, por lo que debe transparentarse su ejercicio.</w:t>
      </w:r>
    </w:p>
    <w:p w14:paraId="47FA17BA" w14:textId="77777777" w:rsidR="00170EC6" w:rsidRPr="00681CB2" w:rsidRDefault="00170EC6" w:rsidP="00170EC6">
      <w:pPr>
        <w:autoSpaceDE w:val="0"/>
        <w:autoSpaceDN w:val="0"/>
        <w:adjustRightInd w:val="0"/>
        <w:spacing w:before="240" w:after="240" w:line="360" w:lineRule="auto"/>
        <w:ind w:right="50"/>
        <w:jc w:val="both"/>
        <w:rPr>
          <w:rFonts w:ascii="Palatino Linotype" w:hAnsi="Palatino Linotype" w:cs="Arial"/>
        </w:rPr>
      </w:pPr>
      <w:r w:rsidRPr="00681CB2">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606D1A7A" w14:textId="77777777" w:rsidR="00170EC6" w:rsidRPr="00681CB2" w:rsidRDefault="00170EC6" w:rsidP="00170EC6">
      <w:pPr>
        <w:autoSpaceDE w:val="0"/>
        <w:autoSpaceDN w:val="0"/>
        <w:adjustRightInd w:val="0"/>
        <w:spacing w:before="240" w:after="240" w:line="360" w:lineRule="auto"/>
        <w:ind w:right="50"/>
        <w:jc w:val="both"/>
        <w:rPr>
          <w:rFonts w:ascii="Palatino Linotype" w:hAnsi="Palatino Linotype" w:cs="Arial"/>
        </w:rPr>
      </w:pPr>
      <w:r w:rsidRPr="00681CB2">
        <w:rPr>
          <w:rFonts w:ascii="Palatino Linotype" w:hAnsi="Palatino Linotype" w:cs="Arial"/>
        </w:rPr>
        <w:t>Argumentación que guarda sustento en lo estipulado por el artículo 23 de la Ley de Transparencia y Acceso a la Información Pública del Estado de México y Municipios vigente en su penúltimo párrafo, mismo que se lee como sigue:</w:t>
      </w:r>
    </w:p>
    <w:p w14:paraId="549DA757" w14:textId="77777777" w:rsidR="00170EC6" w:rsidRPr="00681CB2" w:rsidRDefault="00170EC6" w:rsidP="00170EC6">
      <w:pPr>
        <w:ind w:left="709" w:right="709"/>
        <w:jc w:val="both"/>
        <w:rPr>
          <w:rFonts w:ascii="Palatino Linotype" w:hAnsi="Palatino Linotype" w:cs="Arial,Bold"/>
          <w:b/>
          <w:bCs/>
          <w:i/>
          <w:sz w:val="22"/>
          <w:lang w:eastAsia="es-MX"/>
        </w:rPr>
      </w:pPr>
      <w:r w:rsidRPr="00681CB2">
        <w:rPr>
          <w:rFonts w:ascii="Palatino Linotype" w:hAnsi="Palatino Linotype" w:cs="Arial,Bold"/>
          <w:b/>
          <w:bCs/>
          <w:i/>
          <w:sz w:val="22"/>
          <w:lang w:eastAsia="es-MX"/>
        </w:rPr>
        <w:t>“Artículo 23. </w:t>
      </w:r>
      <w:r w:rsidRPr="00681CB2">
        <w:rPr>
          <w:rFonts w:ascii="Palatino Linotype" w:hAnsi="Palatino Linotype" w:cs="Arial,Bold"/>
          <w:bCs/>
          <w:i/>
          <w:sz w:val="22"/>
          <w:lang w:eastAsia="es-MX"/>
        </w:rPr>
        <w:t>(…)</w:t>
      </w:r>
    </w:p>
    <w:p w14:paraId="3F299976" w14:textId="77777777" w:rsidR="00170EC6" w:rsidRPr="00681CB2" w:rsidRDefault="00170EC6" w:rsidP="00365C94">
      <w:pPr>
        <w:spacing w:after="240"/>
        <w:ind w:left="709" w:right="709"/>
        <w:jc w:val="both"/>
        <w:rPr>
          <w:rFonts w:ascii="Palatino Linotype" w:hAnsi="Palatino Linotype" w:cs="Arial,Bold"/>
          <w:b/>
          <w:bCs/>
          <w:i/>
          <w:sz w:val="22"/>
          <w:lang w:eastAsia="es-MX"/>
        </w:rPr>
      </w:pPr>
      <w:r w:rsidRPr="00681CB2">
        <w:rPr>
          <w:rFonts w:ascii="Palatino Linotype" w:hAnsi="Palatino Linotype" w:cs="Arial,Bold"/>
          <w:bCs/>
          <w:i/>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681CB2">
        <w:rPr>
          <w:rFonts w:ascii="Palatino Linotype" w:hAnsi="Palatino Linotype" w:cs="Arial,Bold"/>
          <w:b/>
          <w:bCs/>
          <w:i/>
          <w:sz w:val="22"/>
          <w:lang w:eastAsia="es-MX"/>
        </w:rPr>
        <w:t>”</w:t>
      </w:r>
    </w:p>
    <w:p w14:paraId="22996575" w14:textId="2E0E21A3" w:rsidR="009A359D" w:rsidRPr="00681CB2" w:rsidRDefault="00170EC6" w:rsidP="00365C94">
      <w:pPr>
        <w:spacing w:after="240" w:line="360" w:lineRule="auto"/>
        <w:ind w:right="-93"/>
        <w:jc w:val="both"/>
        <w:rPr>
          <w:rFonts w:ascii="Palatino Linotype" w:hAnsi="Palatino Linotype" w:cs="Arial"/>
          <w:lang w:eastAsia="es-MX"/>
        </w:rPr>
      </w:pPr>
      <w:r w:rsidRPr="00681CB2">
        <w:rPr>
          <w:rFonts w:ascii="Palatino Linotype" w:hAnsi="Palatino Linotype" w:cs="Arial"/>
          <w:lang w:eastAsia="es-MX"/>
        </w:rPr>
        <w:t>Por cuanto hace a</w:t>
      </w:r>
      <w:r w:rsidR="009A359D" w:rsidRPr="00681CB2">
        <w:rPr>
          <w:rFonts w:ascii="Palatino Linotype" w:hAnsi="Palatino Linotype" w:cs="Arial"/>
          <w:lang w:eastAsia="es-MX"/>
        </w:rPr>
        <w:t xml:space="preserve"> la </w:t>
      </w:r>
      <w:r w:rsidR="009A359D" w:rsidRPr="00681CB2">
        <w:rPr>
          <w:rFonts w:ascii="Palatino Linotype" w:hAnsi="Palatino Linotype" w:cs="Arial"/>
          <w:b/>
        </w:rPr>
        <w:t xml:space="preserve">Clave Única de Registro de Población, </w:t>
      </w:r>
      <w:r w:rsidR="009A359D" w:rsidRPr="00681CB2">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1D600FC" w14:textId="77777777" w:rsidR="009A359D" w:rsidRPr="00681CB2" w:rsidRDefault="009A359D" w:rsidP="009A359D">
      <w:pPr>
        <w:spacing w:line="360" w:lineRule="auto"/>
        <w:ind w:right="-93"/>
        <w:jc w:val="both"/>
        <w:rPr>
          <w:rFonts w:ascii="Palatino Linotype" w:hAnsi="Palatino Linotype" w:cs="Arial"/>
          <w:lang w:eastAsia="es-MX"/>
        </w:rPr>
      </w:pPr>
      <w:r w:rsidRPr="00681CB2">
        <w:rPr>
          <w:rFonts w:ascii="Palatino Linotype" w:hAnsi="Palatino Linotype" w:cs="Arial"/>
          <w:lang w:eastAsia="es-MX"/>
        </w:rPr>
        <w:lastRenderedPageBreak/>
        <w:t>Lo anterior, tiene sustento en los artículos 86 y 91 de la Ley General de Población, la cual señala lo siguiente:</w:t>
      </w:r>
    </w:p>
    <w:p w14:paraId="39F0A853" w14:textId="77777777" w:rsidR="009A359D" w:rsidRPr="00681CB2" w:rsidRDefault="009A359D" w:rsidP="009A359D">
      <w:pPr>
        <w:ind w:left="709" w:right="709"/>
        <w:jc w:val="both"/>
        <w:rPr>
          <w:rFonts w:ascii="Palatino Linotype" w:hAnsi="Palatino Linotype" w:cs="Arial"/>
          <w:i/>
          <w:sz w:val="22"/>
          <w:lang w:eastAsia="es-MX"/>
        </w:rPr>
      </w:pPr>
      <w:r w:rsidRPr="00681CB2">
        <w:rPr>
          <w:rFonts w:ascii="Palatino Linotype" w:hAnsi="Palatino Linotype" w:cs="Arial,Bold"/>
          <w:b/>
          <w:bCs/>
          <w:i/>
          <w:sz w:val="22"/>
          <w:lang w:eastAsia="es-MX"/>
        </w:rPr>
        <w:t xml:space="preserve">“Artículo 86. </w:t>
      </w:r>
      <w:r w:rsidRPr="00681CB2">
        <w:rPr>
          <w:rFonts w:ascii="Palatino Linotype" w:hAnsi="Palatino Linotype" w:cs="Arial"/>
          <w:i/>
          <w:sz w:val="22"/>
          <w:lang w:eastAsia="es-MX"/>
        </w:rPr>
        <w:t xml:space="preserve">El </w:t>
      </w:r>
      <w:r w:rsidRPr="00681CB2">
        <w:rPr>
          <w:rFonts w:ascii="Palatino Linotype" w:hAnsi="Palatino Linotype" w:cs="Arial"/>
          <w:i/>
          <w:sz w:val="22"/>
          <w:szCs w:val="22"/>
        </w:rPr>
        <w:t>Registro</w:t>
      </w:r>
      <w:r w:rsidRPr="00681CB2">
        <w:rPr>
          <w:rFonts w:ascii="Palatino Linotype" w:hAnsi="Palatino Linotype" w:cs="Arial"/>
          <w:i/>
          <w:sz w:val="22"/>
          <w:lang w:eastAsia="es-MX"/>
        </w:rPr>
        <w:t xml:space="preserve"> Nacional </w:t>
      </w:r>
      <w:r w:rsidRPr="00681CB2">
        <w:rPr>
          <w:rFonts w:ascii="Palatino Linotype" w:hAnsi="Palatino Linotype" w:cs="Arial"/>
          <w:i/>
          <w:sz w:val="22"/>
        </w:rPr>
        <w:t>de</w:t>
      </w:r>
      <w:r w:rsidRPr="00681CB2">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60765DD4" w14:textId="77777777" w:rsidR="009A359D" w:rsidRPr="00681CB2" w:rsidRDefault="009A359D" w:rsidP="009A359D">
      <w:pPr>
        <w:ind w:left="709" w:right="709"/>
        <w:jc w:val="both"/>
        <w:rPr>
          <w:rFonts w:ascii="Palatino Linotype" w:hAnsi="Palatino Linotype" w:cs="Arial"/>
          <w:i/>
          <w:sz w:val="22"/>
          <w:lang w:eastAsia="es-MX"/>
        </w:rPr>
      </w:pPr>
      <w:r w:rsidRPr="00681CB2">
        <w:rPr>
          <w:rFonts w:ascii="Palatino Linotype" w:hAnsi="Palatino Linotype" w:cs="Arial,Bold"/>
          <w:b/>
          <w:bCs/>
          <w:i/>
          <w:sz w:val="22"/>
          <w:lang w:eastAsia="es-MX"/>
        </w:rPr>
        <w:t xml:space="preserve">Artículo 91. </w:t>
      </w:r>
      <w:r w:rsidRPr="00681CB2">
        <w:rPr>
          <w:rFonts w:ascii="Palatino Linotype" w:hAnsi="Palatino Linotype" w:cs="Arial"/>
          <w:i/>
          <w:sz w:val="22"/>
          <w:lang w:eastAsia="es-MX"/>
        </w:rPr>
        <w:t xml:space="preserve">Al incorporar a una persona en el Registro Nacional de Población, se le asignará una clave que se denominará </w:t>
      </w:r>
      <w:r w:rsidRPr="00681CB2">
        <w:rPr>
          <w:rFonts w:ascii="Palatino Linotype" w:hAnsi="Palatino Linotype" w:cs="Arial"/>
          <w:i/>
          <w:sz w:val="22"/>
          <w:szCs w:val="22"/>
        </w:rPr>
        <w:t>Clave</w:t>
      </w:r>
      <w:r w:rsidRPr="00681CB2">
        <w:rPr>
          <w:rFonts w:ascii="Palatino Linotype" w:hAnsi="Palatino Linotype" w:cs="Arial"/>
          <w:i/>
          <w:sz w:val="22"/>
          <w:lang w:eastAsia="es-MX"/>
        </w:rPr>
        <w:t xml:space="preserve"> Única de Registro de Población. Esta servirá para registrarla e identificarla en forma </w:t>
      </w:r>
      <w:r w:rsidRPr="00681CB2">
        <w:rPr>
          <w:rFonts w:ascii="Palatino Linotype" w:hAnsi="Palatino Linotype" w:cs="Arial"/>
          <w:i/>
          <w:sz w:val="22"/>
        </w:rPr>
        <w:t>individual</w:t>
      </w:r>
      <w:r w:rsidRPr="00681CB2">
        <w:rPr>
          <w:rFonts w:ascii="Palatino Linotype" w:hAnsi="Palatino Linotype" w:cs="Arial"/>
          <w:i/>
          <w:sz w:val="22"/>
          <w:lang w:eastAsia="es-MX"/>
        </w:rPr>
        <w:t>.”</w:t>
      </w:r>
    </w:p>
    <w:p w14:paraId="37FA7A83" w14:textId="77777777" w:rsidR="009A359D" w:rsidRPr="00681CB2" w:rsidRDefault="009A359D" w:rsidP="009A359D">
      <w:pPr>
        <w:shd w:val="clear" w:color="auto" w:fill="FFFFFF"/>
        <w:spacing w:line="360" w:lineRule="auto"/>
        <w:jc w:val="both"/>
        <w:rPr>
          <w:rFonts w:ascii="Palatino Linotype" w:hAnsi="Palatino Linotype"/>
          <w:lang w:eastAsia="es-MX"/>
        </w:rPr>
      </w:pPr>
    </w:p>
    <w:p w14:paraId="1F3ACE08" w14:textId="77777777" w:rsidR="009A359D" w:rsidRPr="00681CB2" w:rsidRDefault="009A359D" w:rsidP="009A359D">
      <w:pPr>
        <w:shd w:val="clear" w:color="auto" w:fill="FFFFFF"/>
        <w:spacing w:line="360" w:lineRule="auto"/>
        <w:jc w:val="both"/>
        <w:rPr>
          <w:rFonts w:ascii="Palatino Linotype" w:hAnsi="Palatino Linotype"/>
          <w:lang w:eastAsia="es-MX"/>
        </w:rPr>
      </w:pPr>
      <w:r w:rsidRPr="00681CB2">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681CB2">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681CB2">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2DFEC599" w14:textId="10525724" w:rsidR="009A359D" w:rsidRPr="00681CB2" w:rsidRDefault="009A359D" w:rsidP="009A359D">
      <w:pPr>
        <w:spacing w:line="360" w:lineRule="auto"/>
        <w:ind w:right="-91"/>
        <w:jc w:val="both"/>
        <w:rPr>
          <w:rFonts w:ascii="Palatino Linotype" w:hAnsi="Palatino Linotype" w:cs="Arial"/>
          <w:lang w:eastAsia="es-MX"/>
        </w:rPr>
      </w:pPr>
      <w:r w:rsidRPr="00681CB2">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w:t>
      </w:r>
      <w:r w:rsidR="007E0CB8" w:rsidRPr="00681CB2">
        <w:rPr>
          <w:rFonts w:ascii="Palatino Linotype" w:hAnsi="Palatino Linotype" w:cs="Arial"/>
          <w:lang w:eastAsia="es-MX"/>
        </w:rPr>
        <w:t>ión de Datos Personales (INAI),</w:t>
      </w:r>
      <w:r w:rsidRPr="00681CB2">
        <w:rPr>
          <w:rFonts w:ascii="Palatino Linotype" w:hAnsi="Palatino Linotype" w:cs="Arial"/>
          <w:lang w:eastAsia="es-MX"/>
        </w:rPr>
        <w:t xml:space="preserve"> a través del Criterio </w:t>
      </w:r>
      <w:r w:rsidR="007E0CB8" w:rsidRPr="00681CB2">
        <w:rPr>
          <w:rFonts w:ascii="Palatino Linotype" w:hAnsi="Palatino Linotype" w:cs="Arial"/>
          <w:lang w:eastAsia="es-MX"/>
        </w:rPr>
        <w:t>18/17</w:t>
      </w:r>
      <w:r w:rsidRPr="00681CB2">
        <w:rPr>
          <w:rFonts w:ascii="Palatino Linotype" w:hAnsi="Palatino Linotype" w:cs="Arial"/>
          <w:lang w:eastAsia="es-MX"/>
        </w:rPr>
        <w:t>, señala literalmente lo siguiente:</w:t>
      </w:r>
    </w:p>
    <w:p w14:paraId="2CDEDD7B" w14:textId="77777777" w:rsidR="007E0CB8" w:rsidRPr="00681CB2" w:rsidRDefault="009A359D" w:rsidP="007E0CB8">
      <w:pPr>
        <w:ind w:left="709" w:right="709"/>
        <w:jc w:val="both"/>
        <w:rPr>
          <w:rFonts w:ascii="Palatino Linotype" w:hAnsi="Palatino Linotype" w:cs="Arial,Bold"/>
          <w:b/>
          <w:bCs/>
          <w:i/>
          <w:sz w:val="22"/>
          <w:lang w:eastAsia="es-MX"/>
        </w:rPr>
      </w:pPr>
      <w:r w:rsidRPr="00681CB2">
        <w:rPr>
          <w:rFonts w:ascii="Palatino Linotype" w:hAnsi="Palatino Linotype" w:cs="Arial,Bold"/>
          <w:b/>
          <w:bCs/>
          <w:i/>
          <w:sz w:val="22"/>
          <w:lang w:eastAsia="es-MX"/>
        </w:rPr>
        <w:t>“</w:t>
      </w:r>
      <w:r w:rsidR="007E0CB8" w:rsidRPr="00681CB2">
        <w:rPr>
          <w:rFonts w:ascii="Palatino Linotype" w:hAnsi="Palatino Linotype" w:cs="Arial,Bold"/>
          <w:b/>
          <w:bCs/>
          <w:i/>
          <w:sz w:val="22"/>
          <w:lang w:eastAsia="es-MX"/>
        </w:rPr>
        <w:t xml:space="preserve">Clave Única de Registro de Población (CURP). </w:t>
      </w:r>
      <w:r w:rsidR="007E0CB8" w:rsidRPr="00681CB2">
        <w:rPr>
          <w:rFonts w:ascii="Palatino Linotype" w:hAnsi="Palatino Linotype" w:cs="Arial,Bold"/>
          <w:bCs/>
          <w:i/>
          <w:sz w:val="22"/>
          <w:lang w:eastAsia="es-MX"/>
        </w:rPr>
        <w:t xml:space="preserve">La Clave Única de Registro de Población se integra por datos personales que sólo conciernen al particular titular de </w:t>
      </w:r>
      <w:r w:rsidR="007E0CB8" w:rsidRPr="00681CB2">
        <w:rPr>
          <w:rFonts w:ascii="Palatino Linotype" w:hAnsi="Palatino Linotype" w:cs="Arial,Bold"/>
          <w:bCs/>
          <w:i/>
          <w:sz w:val="22"/>
          <w:lang w:eastAsia="es-MX"/>
        </w:rPr>
        <w:lastRenderedPageBreak/>
        <w:t>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675DC84" w14:textId="77777777" w:rsidR="007E0CB8" w:rsidRPr="00681CB2" w:rsidRDefault="007E0CB8" w:rsidP="007E0CB8">
      <w:pPr>
        <w:ind w:left="709" w:right="709"/>
        <w:jc w:val="both"/>
        <w:rPr>
          <w:rFonts w:ascii="Palatino Linotype" w:hAnsi="Palatino Linotype" w:cs="Arial,Bold"/>
          <w:bCs/>
          <w:i/>
          <w:sz w:val="22"/>
          <w:lang w:eastAsia="es-MX"/>
        </w:rPr>
      </w:pPr>
      <w:r w:rsidRPr="00681CB2">
        <w:rPr>
          <w:rFonts w:ascii="Palatino Linotype" w:hAnsi="Palatino Linotype" w:cs="Arial,Bold"/>
          <w:bCs/>
          <w:i/>
          <w:sz w:val="22"/>
          <w:lang w:eastAsia="es-MX"/>
        </w:rPr>
        <w:t>Resoluciones:</w:t>
      </w:r>
    </w:p>
    <w:p w14:paraId="62998FAA" w14:textId="77777777" w:rsidR="007E0CB8" w:rsidRPr="00681CB2" w:rsidRDefault="007E0CB8" w:rsidP="007E0CB8">
      <w:pPr>
        <w:ind w:left="709" w:right="709"/>
        <w:jc w:val="both"/>
        <w:rPr>
          <w:rFonts w:ascii="Palatino Linotype" w:hAnsi="Palatino Linotype" w:cs="Arial,Bold"/>
          <w:bCs/>
          <w:i/>
          <w:sz w:val="22"/>
          <w:lang w:eastAsia="es-MX"/>
        </w:rPr>
      </w:pPr>
      <w:r w:rsidRPr="00681CB2">
        <w:rPr>
          <w:rFonts w:ascii="Palatino Linotype" w:hAnsi="Palatino Linotype" w:cs="Arial,Bold"/>
          <w:bCs/>
          <w:i/>
          <w:sz w:val="22"/>
          <w:lang w:eastAsia="es-MX"/>
        </w:rPr>
        <w:t xml:space="preserve">RRA 3995/16. Secretaría de la Defensa Nacional. 1 de febrero de 2017. Por unanimidad. Comisionado Ponente </w:t>
      </w:r>
      <w:proofErr w:type="spellStart"/>
      <w:r w:rsidRPr="00681CB2">
        <w:rPr>
          <w:rFonts w:ascii="Palatino Linotype" w:hAnsi="Palatino Linotype" w:cs="Arial,Bold"/>
          <w:bCs/>
          <w:i/>
          <w:sz w:val="22"/>
          <w:lang w:eastAsia="es-MX"/>
        </w:rPr>
        <w:t>Rosendoevgueni</w:t>
      </w:r>
      <w:proofErr w:type="spellEnd"/>
      <w:r w:rsidRPr="00681CB2">
        <w:rPr>
          <w:rFonts w:ascii="Palatino Linotype" w:hAnsi="Palatino Linotype" w:cs="Arial,Bold"/>
          <w:bCs/>
          <w:i/>
          <w:sz w:val="22"/>
          <w:lang w:eastAsia="es-MX"/>
        </w:rPr>
        <w:t xml:space="preserve"> Monterrey </w:t>
      </w:r>
      <w:proofErr w:type="spellStart"/>
      <w:r w:rsidRPr="00681CB2">
        <w:rPr>
          <w:rFonts w:ascii="Palatino Linotype" w:hAnsi="Palatino Linotype" w:cs="Arial,Bold"/>
          <w:bCs/>
          <w:i/>
          <w:sz w:val="22"/>
          <w:lang w:eastAsia="es-MX"/>
        </w:rPr>
        <w:t>Chepov</w:t>
      </w:r>
      <w:proofErr w:type="spellEnd"/>
      <w:r w:rsidRPr="00681CB2">
        <w:rPr>
          <w:rFonts w:ascii="Palatino Linotype" w:hAnsi="Palatino Linotype" w:cs="Arial,Bold"/>
          <w:bCs/>
          <w:i/>
          <w:sz w:val="22"/>
          <w:lang w:eastAsia="es-MX"/>
        </w:rPr>
        <w:t>.</w:t>
      </w:r>
    </w:p>
    <w:p w14:paraId="38295330" w14:textId="77777777" w:rsidR="007E0CB8" w:rsidRPr="00681CB2" w:rsidRDefault="007E0CB8" w:rsidP="007E0CB8">
      <w:pPr>
        <w:ind w:left="709" w:right="709"/>
        <w:jc w:val="both"/>
        <w:rPr>
          <w:rFonts w:ascii="Palatino Linotype" w:hAnsi="Palatino Linotype" w:cs="Arial,Bold"/>
          <w:bCs/>
          <w:i/>
          <w:sz w:val="22"/>
          <w:lang w:eastAsia="es-MX"/>
        </w:rPr>
      </w:pPr>
      <w:r w:rsidRPr="00681CB2">
        <w:rPr>
          <w:rFonts w:ascii="Palatino Linotype" w:hAnsi="Palatino Linotype" w:cs="Arial,Bold"/>
          <w:bCs/>
          <w:i/>
          <w:sz w:val="22"/>
          <w:lang w:eastAsia="es-MX"/>
        </w:rPr>
        <w:t xml:space="preserve">RRA 0937/17. Senado de la República. 15 de marzo de 2017. Por unanimidad. Comisionada Ponente Ximena Puente de la Mora. </w:t>
      </w:r>
    </w:p>
    <w:p w14:paraId="21EF5D5E" w14:textId="669BD699" w:rsidR="009A359D" w:rsidRPr="00681CB2" w:rsidRDefault="007E0CB8" w:rsidP="007E0CB8">
      <w:pPr>
        <w:ind w:left="709" w:right="709"/>
        <w:jc w:val="both"/>
        <w:rPr>
          <w:rFonts w:ascii="Palatino Linotype" w:hAnsi="Palatino Linotype" w:cs="Arial,Bold"/>
          <w:bCs/>
          <w:i/>
          <w:sz w:val="22"/>
          <w:lang w:eastAsia="es-MX"/>
        </w:rPr>
      </w:pPr>
      <w:r w:rsidRPr="00681CB2">
        <w:rPr>
          <w:rFonts w:ascii="Palatino Linotype" w:hAnsi="Palatino Linotype" w:cs="Arial,Bold"/>
          <w:bCs/>
          <w:i/>
          <w:sz w:val="22"/>
          <w:lang w:eastAsia="es-MX"/>
        </w:rPr>
        <w:t>RRA 0478/17. Secretaría de Relaciones Exteriores. 26 de abril de 2017. Por unanimidad. Comisionada Ponente Areli Cano Guadiana.</w:t>
      </w:r>
      <w:r w:rsidR="009A359D" w:rsidRPr="00681CB2">
        <w:rPr>
          <w:rFonts w:ascii="Palatino Linotype" w:hAnsi="Palatino Linotype" w:cs="Arial,Bold"/>
          <w:bCs/>
          <w:i/>
          <w:sz w:val="22"/>
          <w:lang w:eastAsia="es-MX"/>
        </w:rPr>
        <w:t>”</w:t>
      </w:r>
    </w:p>
    <w:p w14:paraId="76DDB05E" w14:textId="77777777" w:rsidR="009A359D" w:rsidRPr="00681CB2" w:rsidRDefault="009A359D" w:rsidP="009A359D">
      <w:pPr>
        <w:autoSpaceDE w:val="0"/>
        <w:autoSpaceDN w:val="0"/>
        <w:adjustRightInd w:val="0"/>
        <w:spacing w:before="240" w:after="240" w:line="360" w:lineRule="auto"/>
        <w:ind w:right="50"/>
        <w:jc w:val="both"/>
        <w:rPr>
          <w:rFonts w:ascii="Palatino Linotype" w:hAnsi="Palatino Linotype" w:cs="Arial"/>
        </w:rPr>
      </w:pPr>
      <w:r w:rsidRPr="00681CB2">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31C40275" w14:textId="77777777" w:rsidR="009A359D" w:rsidRPr="00681CB2" w:rsidRDefault="009A359D" w:rsidP="009A359D">
      <w:pPr>
        <w:spacing w:before="240"/>
        <w:ind w:left="993" w:right="1041"/>
        <w:contextualSpacing/>
        <w:jc w:val="both"/>
        <w:rPr>
          <w:rFonts w:ascii="Palatino Linotype" w:hAnsi="Palatino Linotype"/>
          <w:i/>
          <w:sz w:val="22"/>
          <w:szCs w:val="22"/>
        </w:rPr>
      </w:pPr>
      <w:r w:rsidRPr="00681CB2">
        <w:rPr>
          <w:rFonts w:ascii="Palatino Linotype" w:hAnsi="Palatino Linotype"/>
          <w:b/>
          <w:i/>
          <w:sz w:val="22"/>
          <w:szCs w:val="22"/>
        </w:rPr>
        <w:t>“Artículo 49.</w:t>
      </w:r>
      <w:r w:rsidRPr="00681CB2">
        <w:rPr>
          <w:rFonts w:ascii="Palatino Linotype" w:hAnsi="Palatino Linotype"/>
          <w:i/>
          <w:sz w:val="22"/>
          <w:szCs w:val="22"/>
        </w:rPr>
        <w:t xml:space="preserve"> </w:t>
      </w:r>
      <w:r w:rsidRPr="00681CB2">
        <w:rPr>
          <w:rFonts w:ascii="Palatino Linotype" w:hAnsi="Palatino Linotype"/>
          <w:b/>
          <w:i/>
          <w:sz w:val="22"/>
          <w:szCs w:val="22"/>
        </w:rPr>
        <w:t>Los Comités de Transparencia</w:t>
      </w:r>
      <w:r w:rsidRPr="00681CB2">
        <w:rPr>
          <w:rFonts w:ascii="Palatino Linotype" w:hAnsi="Palatino Linotype"/>
          <w:i/>
          <w:sz w:val="22"/>
          <w:szCs w:val="22"/>
        </w:rPr>
        <w:t xml:space="preserve"> tendrán las siguientes atribuciones:</w:t>
      </w:r>
    </w:p>
    <w:p w14:paraId="479F032B" w14:textId="77777777" w:rsidR="009A359D" w:rsidRPr="00681CB2" w:rsidRDefault="009A359D" w:rsidP="009A359D">
      <w:pPr>
        <w:spacing w:before="240"/>
        <w:ind w:left="993" w:right="1041"/>
        <w:contextualSpacing/>
        <w:jc w:val="both"/>
        <w:rPr>
          <w:rFonts w:ascii="Palatino Linotype" w:hAnsi="Palatino Linotype"/>
          <w:i/>
          <w:sz w:val="22"/>
          <w:szCs w:val="22"/>
        </w:rPr>
      </w:pPr>
      <w:r w:rsidRPr="00681CB2">
        <w:rPr>
          <w:rFonts w:ascii="Palatino Linotype" w:hAnsi="Palatino Linotype"/>
          <w:b/>
          <w:i/>
          <w:sz w:val="22"/>
          <w:szCs w:val="22"/>
        </w:rPr>
        <w:t>VIII. Aprobar, modificar o revocar la clasificación de la información</w:t>
      </w:r>
      <w:r w:rsidRPr="00681CB2">
        <w:rPr>
          <w:rFonts w:ascii="Palatino Linotype" w:hAnsi="Palatino Linotype"/>
          <w:i/>
          <w:sz w:val="22"/>
          <w:szCs w:val="22"/>
        </w:rPr>
        <w:t>…”</w:t>
      </w:r>
    </w:p>
    <w:p w14:paraId="3A495918" w14:textId="77777777" w:rsidR="009A359D" w:rsidRPr="00681CB2" w:rsidRDefault="009A359D" w:rsidP="009A359D">
      <w:pPr>
        <w:spacing w:before="240"/>
        <w:ind w:left="993" w:right="1041"/>
        <w:contextualSpacing/>
        <w:jc w:val="both"/>
        <w:rPr>
          <w:rFonts w:ascii="Palatino Linotype" w:hAnsi="Palatino Linotype"/>
          <w:b/>
          <w:i/>
          <w:sz w:val="22"/>
          <w:szCs w:val="22"/>
        </w:rPr>
      </w:pPr>
    </w:p>
    <w:p w14:paraId="2AEBCAB5" w14:textId="77777777" w:rsidR="009A359D" w:rsidRPr="00681CB2" w:rsidRDefault="009A359D" w:rsidP="009A359D">
      <w:pPr>
        <w:spacing w:before="240"/>
        <w:ind w:left="993" w:right="1041"/>
        <w:contextualSpacing/>
        <w:jc w:val="both"/>
        <w:rPr>
          <w:rFonts w:ascii="Palatino Linotype" w:hAnsi="Palatino Linotype"/>
          <w:i/>
          <w:sz w:val="22"/>
          <w:szCs w:val="22"/>
        </w:rPr>
      </w:pPr>
      <w:r w:rsidRPr="00681CB2">
        <w:rPr>
          <w:rFonts w:ascii="Palatino Linotype" w:hAnsi="Palatino Linotype"/>
          <w:i/>
          <w:sz w:val="22"/>
          <w:szCs w:val="22"/>
        </w:rPr>
        <w:t>“</w:t>
      </w:r>
      <w:r w:rsidRPr="00681CB2">
        <w:rPr>
          <w:rFonts w:ascii="Palatino Linotype" w:hAnsi="Palatino Linotype"/>
          <w:b/>
          <w:i/>
          <w:sz w:val="22"/>
          <w:szCs w:val="22"/>
        </w:rPr>
        <w:t>Artículo 53.</w:t>
      </w:r>
      <w:r w:rsidRPr="00681CB2">
        <w:rPr>
          <w:rFonts w:ascii="Palatino Linotype" w:hAnsi="Palatino Linotype"/>
          <w:i/>
          <w:sz w:val="22"/>
          <w:szCs w:val="22"/>
        </w:rPr>
        <w:t xml:space="preserve"> Las </w:t>
      </w:r>
      <w:r w:rsidRPr="00681CB2">
        <w:rPr>
          <w:rFonts w:ascii="Palatino Linotype" w:hAnsi="Palatino Linotype"/>
          <w:b/>
          <w:i/>
          <w:sz w:val="22"/>
          <w:szCs w:val="22"/>
        </w:rPr>
        <w:t>Unidades de Transparencia</w:t>
      </w:r>
      <w:r w:rsidRPr="00681CB2">
        <w:rPr>
          <w:rFonts w:ascii="Palatino Linotype" w:hAnsi="Palatino Linotype"/>
          <w:i/>
          <w:sz w:val="22"/>
          <w:szCs w:val="22"/>
        </w:rPr>
        <w:t xml:space="preserve"> tendrán las siguientes </w:t>
      </w:r>
      <w:r w:rsidRPr="00681CB2">
        <w:rPr>
          <w:rFonts w:ascii="Palatino Linotype" w:hAnsi="Palatino Linotype"/>
          <w:b/>
          <w:i/>
          <w:sz w:val="22"/>
          <w:szCs w:val="22"/>
        </w:rPr>
        <w:t>funciones</w:t>
      </w:r>
      <w:r w:rsidRPr="00681CB2">
        <w:rPr>
          <w:rFonts w:ascii="Palatino Linotype" w:hAnsi="Palatino Linotype"/>
          <w:i/>
          <w:sz w:val="22"/>
          <w:szCs w:val="22"/>
        </w:rPr>
        <w:t>:</w:t>
      </w:r>
    </w:p>
    <w:p w14:paraId="32CC4531" w14:textId="77777777" w:rsidR="009A359D" w:rsidRPr="00681CB2" w:rsidRDefault="009A359D" w:rsidP="009A359D">
      <w:pPr>
        <w:spacing w:before="240"/>
        <w:ind w:left="993" w:right="1041"/>
        <w:contextualSpacing/>
        <w:jc w:val="both"/>
        <w:rPr>
          <w:rFonts w:ascii="Palatino Linotype" w:hAnsi="Palatino Linotype"/>
          <w:i/>
          <w:sz w:val="22"/>
          <w:szCs w:val="22"/>
        </w:rPr>
      </w:pPr>
      <w:r w:rsidRPr="00681CB2">
        <w:rPr>
          <w:rFonts w:ascii="Palatino Linotype" w:hAnsi="Palatino Linotype"/>
          <w:b/>
          <w:i/>
          <w:sz w:val="22"/>
          <w:szCs w:val="22"/>
        </w:rPr>
        <w:t>X. Presentar ante el Comité, el proyecto de clasificación de información</w:t>
      </w:r>
      <w:r w:rsidRPr="00681CB2">
        <w:rPr>
          <w:rFonts w:ascii="Palatino Linotype" w:hAnsi="Palatino Linotype"/>
          <w:i/>
          <w:sz w:val="22"/>
          <w:szCs w:val="22"/>
        </w:rPr>
        <w:t xml:space="preserve">…” </w:t>
      </w:r>
    </w:p>
    <w:p w14:paraId="61872E8F" w14:textId="77777777" w:rsidR="009A359D" w:rsidRPr="00681CB2" w:rsidRDefault="009A359D" w:rsidP="009A359D">
      <w:pPr>
        <w:spacing w:before="240"/>
        <w:ind w:left="993" w:right="1041"/>
        <w:contextualSpacing/>
        <w:jc w:val="both"/>
        <w:rPr>
          <w:rFonts w:ascii="Palatino Linotype" w:hAnsi="Palatino Linotype"/>
          <w:i/>
          <w:sz w:val="22"/>
          <w:szCs w:val="22"/>
        </w:rPr>
      </w:pPr>
    </w:p>
    <w:p w14:paraId="1A1201E9" w14:textId="77777777" w:rsidR="009A359D" w:rsidRPr="00681CB2" w:rsidRDefault="009A359D" w:rsidP="009A359D">
      <w:pPr>
        <w:spacing w:before="240"/>
        <w:ind w:left="993" w:right="1041"/>
        <w:contextualSpacing/>
        <w:jc w:val="both"/>
        <w:rPr>
          <w:rFonts w:ascii="Palatino Linotype" w:hAnsi="Palatino Linotype"/>
          <w:i/>
          <w:sz w:val="22"/>
          <w:szCs w:val="22"/>
        </w:rPr>
      </w:pPr>
      <w:r w:rsidRPr="00681CB2">
        <w:rPr>
          <w:rFonts w:ascii="Palatino Linotype" w:hAnsi="Palatino Linotype"/>
          <w:b/>
          <w:i/>
          <w:sz w:val="22"/>
          <w:szCs w:val="22"/>
        </w:rPr>
        <w:t>“Artículo 59.</w:t>
      </w:r>
      <w:r w:rsidRPr="00681CB2">
        <w:rPr>
          <w:rFonts w:ascii="Palatino Linotype" w:hAnsi="Palatino Linotype"/>
          <w:i/>
          <w:sz w:val="22"/>
          <w:szCs w:val="22"/>
        </w:rPr>
        <w:t xml:space="preserve"> Los </w:t>
      </w:r>
      <w:r w:rsidRPr="00681CB2">
        <w:rPr>
          <w:rFonts w:ascii="Palatino Linotype" w:hAnsi="Palatino Linotype"/>
          <w:b/>
          <w:i/>
          <w:sz w:val="22"/>
          <w:szCs w:val="22"/>
        </w:rPr>
        <w:t>servidores públicos habilitados</w:t>
      </w:r>
      <w:r w:rsidRPr="00681CB2">
        <w:rPr>
          <w:rFonts w:ascii="Palatino Linotype" w:hAnsi="Palatino Linotype"/>
          <w:i/>
          <w:sz w:val="22"/>
          <w:szCs w:val="22"/>
        </w:rPr>
        <w:t xml:space="preserve"> tendrán las </w:t>
      </w:r>
      <w:r w:rsidRPr="00681CB2">
        <w:rPr>
          <w:rFonts w:ascii="Palatino Linotype" w:hAnsi="Palatino Linotype"/>
          <w:b/>
          <w:i/>
          <w:sz w:val="22"/>
          <w:szCs w:val="22"/>
        </w:rPr>
        <w:t>funciones</w:t>
      </w:r>
      <w:r w:rsidRPr="00681CB2">
        <w:rPr>
          <w:rFonts w:ascii="Palatino Linotype" w:hAnsi="Palatino Linotype"/>
          <w:i/>
          <w:sz w:val="22"/>
          <w:szCs w:val="22"/>
        </w:rPr>
        <w:t xml:space="preserve"> siguientes:</w:t>
      </w:r>
    </w:p>
    <w:p w14:paraId="3FE018F1" w14:textId="77777777" w:rsidR="009A359D" w:rsidRPr="00681CB2" w:rsidRDefault="009A359D" w:rsidP="009A359D">
      <w:pPr>
        <w:spacing w:before="240"/>
        <w:ind w:left="993" w:right="1041"/>
        <w:contextualSpacing/>
        <w:jc w:val="both"/>
        <w:rPr>
          <w:rFonts w:ascii="Palatino Linotype" w:hAnsi="Palatino Linotype"/>
          <w:i/>
          <w:sz w:val="22"/>
          <w:szCs w:val="22"/>
        </w:rPr>
      </w:pPr>
      <w:r w:rsidRPr="00681CB2">
        <w:rPr>
          <w:rFonts w:ascii="Palatino Linotype" w:hAnsi="Palatino Linotype"/>
          <w:b/>
          <w:i/>
          <w:sz w:val="22"/>
          <w:szCs w:val="22"/>
        </w:rPr>
        <w:lastRenderedPageBreak/>
        <w:t>V. Integrar y presentar al responsable de la Unidad de Transparencia la propuesta de clasificación de información</w:t>
      </w:r>
      <w:r w:rsidRPr="00681CB2">
        <w:rPr>
          <w:rFonts w:ascii="Palatino Linotype" w:hAnsi="Palatino Linotype"/>
          <w:i/>
          <w:sz w:val="22"/>
          <w:szCs w:val="22"/>
        </w:rPr>
        <w:t>, la cual tendrá los fundamentos y argumentos en que se basa dicha propuesta…”</w:t>
      </w:r>
    </w:p>
    <w:p w14:paraId="1329B277" w14:textId="77777777" w:rsidR="009A359D" w:rsidRPr="00681CB2" w:rsidRDefault="009A359D" w:rsidP="009A359D">
      <w:pPr>
        <w:spacing w:before="240" w:after="240" w:line="360" w:lineRule="auto"/>
        <w:jc w:val="both"/>
        <w:rPr>
          <w:rFonts w:ascii="Palatino Linotype" w:hAnsi="Palatino Linotype" w:cs="Arial"/>
        </w:rPr>
      </w:pPr>
      <w:r w:rsidRPr="00681CB2">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1B03BB3" w14:textId="77777777" w:rsidR="009A359D" w:rsidRPr="00681CB2" w:rsidRDefault="009A359D" w:rsidP="009A359D">
      <w:pPr>
        <w:spacing w:before="240" w:after="240" w:line="360" w:lineRule="auto"/>
        <w:jc w:val="both"/>
        <w:rPr>
          <w:rFonts w:ascii="Palatino Linotype" w:hAnsi="Palatino Linotype"/>
          <w:color w:val="000000"/>
        </w:rPr>
      </w:pPr>
      <w:r w:rsidRPr="00681CB2">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20EF0BE9" w14:textId="77777777" w:rsidR="009A359D" w:rsidRPr="00681CB2" w:rsidRDefault="009A359D" w:rsidP="009A359D">
      <w:pPr>
        <w:spacing w:before="240" w:after="240"/>
        <w:ind w:left="993" w:right="1041"/>
        <w:jc w:val="both"/>
        <w:rPr>
          <w:rFonts w:ascii="Palatino Linotype" w:hAnsi="Palatino Linotype" w:cs="Arial"/>
          <w:i/>
          <w:sz w:val="22"/>
          <w:szCs w:val="22"/>
        </w:rPr>
      </w:pPr>
      <w:r w:rsidRPr="00681CB2">
        <w:rPr>
          <w:rFonts w:ascii="Palatino Linotype" w:hAnsi="Palatino Linotype"/>
          <w:i/>
          <w:color w:val="000000"/>
          <w:sz w:val="22"/>
          <w:szCs w:val="22"/>
        </w:rPr>
        <w:t>“</w:t>
      </w:r>
      <w:r w:rsidRPr="00681CB2">
        <w:rPr>
          <w:rFonts w:ascii="Palatino Linotype" w:hAnsi="Palatino Linotype"/>
          <w:b/>
          <w:i/>
          <w:sz w:val="22"/>
          <w:szCs w:val="22"/>
        </w:rPr>
        <w:t>Artículo 149.</w:t>
      </w:r>
      <w:r w:rsidRPr="00681CB2">
        <w:rPr>
          <w:rFonts w:ascii="Palatino Linotype" w:hAnsi="Palatino Linotype"/>
          <w:i/>
          <w:sz w:val="22"/>
          <w:szCs w:val="22"/>
        </w:rPr>
        <w:t xml:space="preserve"> El </w:t>
      </w:r>
      <w:r w:rsidRPr="00681CB2">
        <w:rPr>
          <w:rFonts w:ascii="Palatino Linotype" w:hAnsi="Palatino Linotype"/>
          <w:b/>
          <w:i/>
          <w:sz w:val="22"/>
          <w:szCs w:val="22"/>
        </w:rPr>
        <w:t>acuerdo que clasifique la información como confidencial</w:t>
      </w:r>
      <w:r w:rsidRPr="00681CB2">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0DA8A0DF" w14:textId="77777777" w:rsidR="009A359D" w:rsidRPr="00681CB2" w:rsidRDefault="009A359D" w:rsidP="009A359D">
      <w:pPr>
        <w:spacing w:before="240" w:after="240" w:line="360" w:lineRule="auto"/>
        <w:jc w:val="both"/>
        <w:rPr>
          <w:rFonts w:ascii="Palatino Linotype" w:hAnsi="Palatino Linotype" w:cs="Arial"/>
        </w:rPr>
      </w:pPr>
      <w:r w:rsidRPr="00681CB2">
        <w:rPr>
          <w:rFonts w:ascii="Palatino Linotype" w:hAnsi="Palatino Linotype" w:cs="Arial"/>
          <w:lang w:eastAsia="es-CO"/>
        </w:rPr>
        <w:t xml:space="preserve">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w:t>
      </w:r>
      <w:r w:rsidRPr="00681CB2">
        <w:rPr>
          <w:rFonts w:ascii="Palatino Linotype" w:hAnsi="Palatino Linotype" w:cs="Arial"/>
          <w:lang w:eastAsia="es-CO"/>
        </w:rPr>
        <w:lastRenderedPageBreak/>
        <w:t>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6A8C36FB" w14:textId="6C7BC917" w:rsidR="00055BCD" w:rsidRPr="00681CB2" w:rsidRDefault="00652DED" w:rsidP="009A65F3">
      <w:pPr>
        <w:spacing w:before="240" w:after="240" w:line="360" w:lineRule="auto"/>
        <w:jc w:val="both"/>
        <w:rPr>
          <w:rFonts w:ascii="Palatino Linotype" w:hAnsi="Palatino Linotype" w:cs="Arial"/>
        </w:rPr>
      </w:pPr>
      <w:r w:rsidRPr="00681CB2">
        <w:rPr>
          <w:rFonts w:ascii="Palatino Linotype" w:hAnsi="Palatino Linotype" w:cs="Arial"/>
        </w:rPr>
        <w:t xml:space="preserve">Así, con fundamento en lo prescrito en los artículos 5 párrafos </w:t>
      </w:r>
      <w:r w:rsidR="00613D0E" w:rsidRPr="00681CB2">
        <w:rPr>
          <w:rFonts w:ascii="Palatino Linotype" w:hAnsi="Palatino Linotype" w:cs="Arial"/>
        </w:rPr>
        <w:t>vigésimo, vigésimo primero</w:t>
      </w:r>
      <w:r w:rsidRPr="00681CB2">
        <w:rPr>
          <w:rFonts w:ascii="Palatino Linotype" w:hAnsi="Palatino Linotype" w:cs="Arial"/>
        </w:rPr>
        <w:t xml:space="preserve"> y </w:t>
      </w:r>
      <w:r w:rsidR="00613D0E" w:rsidRPr="00681CB2">
        <w:rPr>
          <w:rFonts w:ascii="Palatino Linotype" w:hAnsi="Palatino Linotype" w:cs="Arial"/>
        </w:rPr>
        <w:t>vigésimo segundo</w:t>
      </w:r>
      <w:r w:rsidRPr="00681CB2">
        <w:rPr>
          <w:rFonts w:ascii="Palatino Linotype" w:hAnsi="Palatino Linotype" w:cs="Arial"/>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7CA45FDA" w14:textId="77777777" w:rsidR="009E5A7D" w:rsidRPr="00681CB2" w:rsidRDefault="009E5A7D" w:rsidP="00E84B75">
      <w:pPr>
        <w:pStyle w:val="Prrafodelista"/>
        <w:numPr>
          <w:ilvl w:val="0"/>
          <w:numId w:val="1"/>
        </w:numPr>
        <w:spacing w:before="240" w:after="240" w:line="360" w:lineRule="auto"/>
        <w:contextualSpacing/>
        <w:jc w:val="center"/>
        <w:rPr>
          <w:rFonts w:ascii="Palatino Linotype" w:hAnsi="Palatino Linotype" w:cs="Arial"/>
          <w:b/>
        </w:rPr>
      </w:pPr>
      <w:r w:rsidRPr="00681CB2">
        <w:rPr>
          <w:rFonts w:ascii="Palatino Linotype" w:hAnsi="Palatino Linotype" w:cs="Arial"/>
          <w:b/>
        </w:rPr>
        <w:t>R E S U E L V E:</w:t>
      </w:r>
    </w:p>
    <w:p w14:paraId="3F7025D8" w14:textId="495C6D5C" w:rsidR="00F64D21" w:rsidRPr="00681CB2" w:rsidRDefault="00F64D21" w:rsidP="00F64D21">
      <w:pPr>
        <w:spacing w:before="240" w:after="240" w:line="360" w:lineRule="auto"/>
        <w:jc w:val="both"/>
        <w:rPr>
          <w:rFonts w:ascii="Palatino Linotype" w:hAnsi="Palatino Linotype" w:cs="Arial"/>
          <w:strike/>
        </w:rPr>
      </w:pPr>
      <w:r w:rsidRPr="00681CB2">
        <w:rPr>
          <w:rFonts w:ascii="Palatino Linotype" w:hAnsi="Palatino Linotype" w:cs="Arial"/>
          <w:b/>
        </w:rPr>
        <w:t xml:space="preserve">Primero. </w:t>
      </w:r>
      <w:r w:rsidRPr="00681CB2">
        <w:rPr>
          <w:rFonts w:ascii="Palatino Linotype" w:hAnsi="Palatino Linotype" w:cs="Arial"/>
        </w:rPr>
        <w:t xml:space="preserve">Resultan parcialmente fundados los motivos de inconformidad aducidos por el recurrente, en términos de los argumentos de derecho señalados en el Considerando Cuarto, por lo que se </w:t>
      </w:r>
      <w:r w:rsidR="00D73992" w:rsidRPr="00681CB2">
        <w:rPr>
          <w:rFonts w:ascii="Palatino Linotype" w:hAnsi="Palatino Linotype" w:cs="Arial"/>
          <w:b/>
        </w:rPr>
        <w:t>REVO</w:t>
      </w:r>
      <w:r w:rsidRPr="00681CB2">
        <w:rPr>
          <w:rFonts w:ascii="Palatino Linotype" w:hAnsi="Palatino Linotype" w:cs="Arial"/>
          <w:b/>
        </w:rPr>
        <w:t xml:space="preserve">CA </w:t>
      </w:r>
      <w:r w:rsidRPr="00681CB2">
        <w:rPr>
          <w:rFonts w:ascii="Palatino Linotype" w:hAnsi="Palatino Linotype" w:cs="Arial"/>
        </w:rPr>
        <w:t>la respuesta emitida por el Sujeto Obligado.</w:t>
      </w:r>
      <w:r w:rsidRPr="00681CB2">
        <w:rPr>
          <w:rFonts w:ascii="Palatino Linotype" w:hAnsi="Palatino Linotype" w:cs="Arial"/>
          <w:strike/>
        </w:rPr>
        <w:t xml:space="preserve"> </w:t>
      </w:r>
    </w:p>
    <w:p w14:paraId="4C68965A" w14:textId="77777777" w:rsidR="00F64D21" w:rsidRPr="00681CB2" w:rsidRDefault="00F64D21" w:rsidP="00F64D21">
      <w:pPr>
        <w:spacing w:after="240" w:line="360" w:lineRule="auto"/>
        <w:jc w:val="both"/>
        <w:rPr>
          <w:rFonts w:ascii="Palatino Linotype" w:hAnsi="Palatino Linotype" w:cs="Arial"/>
          <w:bCs/>
          <w:shd w:val="clear" w:color="auto" w:fill="FFFFFF"/>
        </w:rPr>
      </w:pPr>
      <w:r w:rsidRPr="00681CB2">
        <w:rPr>
          <w:rFonts w:ascii="Palatino Linotype" w:hAnsi="Palatino Linotype" w:cs="Arial"/>
          <w:b/>
          <w:bCs/>
          <w:shd w:val="clear" w:color="auto" w:fill="FFFFFF"/>
        </w:rPr>
        <w:t xml:space="preserve">Segundo. Se ORDENA </w:t>
      </w:r>
      <w:r w:rsidRPr="00681CB2">
        <w:rPr>
          <w:rFonts w:ascii="Palatino Linotype" w:hAnsi="Palatino Linotype" w:cs="Arial"/>
          <w:bCs/>
          <w:shd w:val="clear" w:color="auto" w:fill="FFFFFF"/>
        </w:rPr>
        <w:t>al Sujeto Obligado en términos de los Considerandos Cuarto y Quinto de esta resolución, haga entrega vía SAIMEX, previa búsqueda exhaustiva y razonable, de ser procedente en versión pública, de lo siguiente:</w:t>
      </w:r>
    </w:p>
    <w:p w14:paraId="15BA5824" w14:textId="714F5325" w:rsidR="00F64D21" w:rsidRPr="00681CB2" w:rsidRDefault="00F64D21" w:rsidP="00F64D21">
      <w:pPr>
        <w:pStyle w:val="Prrafodelista"/>
        <w:numPr>
          <w:ilvl w:val="0"/>
          <w:numId w:val="28"/>
        </w:numPr>
        <w:spacing w:after="240" w:line="360" w:lineRule="auto"/>
        <w:jc w:val="both"/>
        <w:rPr>
          <w:rFonts w:ascii="Palatino Linotype" w:hAnsi="Palatino Linotype" w:cs="Arial"/>
          <w:bCs/>
          <w:shd w:val="clear" w:color="auto" w:fill="FFFFFF"/>
        </w:rPr>
      </w:pPr>
      <w:r w:rsidRPr="00681CB2">
        <w:rPr>
          <w:rFonts w:ascii="Palatino Linotype" w:hAnsi="Palatino Linotype" w:cs="Arial"/>
        </w:rPr>
        <w:t xml:space="preserve">El o los documentos en donde consten los proveedores, comercializadoras y contratistas con los que se haya suscrito algún instrumento jurídico por la </w:t>
      </w:r>
      <w:r w:rsidRPr="00681CB2">
        <w:rPr>
          <w:rFonts w:ascii="Palatino Linotype" w:hAnsi="Palatino Linotype" w:cs="Arial"/>
        </w:rPr>
        <w:lastRenderedPageBreak/>
        <w:t xml:space="preserve">adquisición de bienes o servicios, </w:t>
      </w:r>
      <w:r w:rsidR="0022693F" w:rsidRPr="00681CB2">
        <w:rPr>
          <w:rFonts w:ascii="Palatino Linotype" w:hAnsi="Palatino Linotype" w:cs="Arial"/>
        </w:rPr>
        <w:t xml:space="preserve">del 1 de enero de </w:t>
      </w:r>
      <w:r w:rsidRPr="00681CB2">
        <w:rPr>
          <w:rFonts w:ascii="Palatino Linotype" w:hAnsi="Palatino Linotype" w:cs="Arial"/>
        </w:rPr>
        <w:t xml:space="preserve">2012 </w:t>
      </w:r>
      <w:r w:rsidR="00F33919" w:rsidRPr="00681CB2">
        <w:rPr>
          <w:rFonts w:ascii="Palatino Linotype" w:hAnsi="Palatino Linotype" w:cs="Arial"/>
        </w:rPr>
        <w:t>a</w:t>
      </w:r>
      <w:r w:rsidRPr="00681CB2">
        <w:rPr>
          <w:rFonts w:ascii="Palatino Linotype" w:hAnsi="Palatino Linotype" w:cs="Arial"/>
        </w:rPr>
        <w:t xml:space="preserve">l </w:t>
      </w:r>
      <w:r w:rsidR="00F33919" w:rsidRPr="00681CB2">
        <w:rPr>
          <w:rFonts w:ascii="Palatino Linotype" w:hAnsi="Palatino Linotype" w:cs="Arial"/>
        </w:rPr>
        <w:t xml:space="preserve">30 </w:t>
      </w:r>
      <w:r w:rsidRPr="00681CB2">
        <w:rPr>
          <w:rFonts w:ascii="Palatino Linotype" w:hAnsi="Palatino Linotype" w:cs="Arial"/>
        </w:rPr>
        <w:t>de agosto del año 2018.</w:t>
      </w:r>
    </w:p>
    <w:p w14:paraId="57181B06" w14:textId="4C71A5D6" w:rsidR="00F64D21" w:rsidRPr="00681CB2" w:rsidRDefault="00F64D21" w:rsidP="00F64D21">
      <w:pPr>
        <w:pStyle w:val="Prrafodelista"/>
        <w:numPr>
          <w:ilvl w:val="0"/>
          <w:numId w:val="28"/>
        </w:numPr>
        <w:spacing w:after="240" w:line="360" w:lineRule="auto"/>
        <w:jc w:val="both"/>
        <w:rPr>
          <w:rFonts w:ascii="Palatino Linotype" w:hAnsi="Palatino Linotype" w:cs="Arial"/>
          <w:bCs/>
          <w:shd w:val="clear" w:color="auto" w:fill="FFFFFF"/>
        </w:rPr>
      </w:pPr>
      <w:r w:rsidRPr="00681CB2">
        <w:rPr>
          <w:rFonts w:ascii="Palatino Linotype" w:hAnsi="Palatino Linotype"/>
        </w:rPr>
        <w:t xml:space="preserve">Relacionado con las empresas “Grupo ARGOG y asociados, S.A. de C.V.”, “ARGOG S.A de C.V.” o similar </w:t>
      </w:r>
      <w:r w:rsidR="0022693F" w:rsidRPr="00681CB2">
        <w:rPr>
          <w:rFonts w:ascii="Palatino Linotype" w:hAnsi="Palatino Linotype" w:cs="Arial"/>
        </w:rPr>
        <w:t xml:space="preserve">del 1 de enero de 2012 </w:t>
      </w:r>
      <w:r w:rsidR="00F33919" w:rsidRPr="00681CB2">
        <w:rPr>
          <w:rFonts w:ascii="Palatino Linotype" w:hAnsi="Palatino Linotype"/>
        </w:rPr>
        <w:t xml:space="preserve">al 30 de agosto del año </w:t>
      </w:r>
      <w:r w:rsidRPr="00681CB2">
        <w:rPr>
          <w:rFonts w:ascii="Palatino Linotype" w:hAnsi="Palatino Linotype"/>
        </w:rPr>
        <w:t>2018:</w:t>
      </w:r>
    </w:p>
    <w:p w14:paraId="60AF88CC" w14:textId="594DFF7E" w:rsidR="00F64D21" w:rsidRPr="00681CB2" w:rsidRDefault="00F64D21" w:rsidP="00F64D21">
      <w:pPr>
        <w:pStyle w:val="Prrafodelista"/>
        <w:numPr>
          <w:ilvl w:val="0"/>
          <w:numId w:val="36"/>
        </w:numPr>
        <w:spacing w:before="240" w:after="240" w:line="360" w:lineRule="auto"/>
        <w:jc w:val="both"/>
        <w:rPr>
          <w:rFonts w:ascii="Palatino Linotype" w:hAnsi="Palatino Linotype"/>
        </w:rPr>
      </w:pPr>
      <w:r w:rsidRPr="00681CB2">
        <w:rPr>
          <w:rFonts w:ascii="Palatino Linotype" w:hAnsi="Palatino Linotype"/>
        </w:rPr>
        <w:t>Contratos y sus anexos.</w:t>
      </w:r>
    </w:p>
    <w:p w14:paraId="656A15BD" w14:textId="77777777" w:rsidR="008E71BB" w:rsidRPr="00681CB2" w:rsidRDefault="008E71BB" w:rsidP="00F64D21">
      <w:pPr>
        <w:pStyle w:val="Prrafodelista"/>
        <w:numPr>
          <w:ilvl w:val="0"/>
          <w:numId w:val="36"/>
        </w:numPr>
        <w:spacing w:before="240" w:after="240" w:line="360" w:lineRule="auto"/>
        <w:jc w:val="both"/>
        <w:rPr>
          <w:rFonts w:ascii="Palatino Linotype" w:hAnsi="Palatino Linotype"/>
        </w:rPr>
      </w:pPr>
      <w:r w:rsidRPr="00681CB2">
        <w:rPr>
          <w:rFonts w:ascii="Palatino Linotype" w:hAnsi="Palatino Linotype"/>
        </w:rPr>
        <w:t xml:space="preserve">Dictámenes </w:t>
      </w:r>
      <w:r w:rsidR="00F64D21" w:rsidRPr="00681CB2">
        <w:rPr>
          <w:rFonts w:ascii="Palatino Linotype" w:hAnsi="Palatino Linotype"/>
        </w:rPr>
        <w:t>del Comité de Adquisiciones y Servicios</w:t>
      </w:r>
      <w:r w:rsidRPr="00681CB2">
        <w:rPr>
          <w:rFonts w:ascii="Palatino Linotype" w:hAnsi="Palatino Linotype"/>
        </w:rPr>
        <w:t xml:space="preserve"> emitidos en favor de las empresas</w:t>
      </w:r>
    </w:p>
    <w:p w14:paraId="008DE56E" w14:textId="4A40FF5E" w:rsidR="00F64D21" w:rsidRPr="00681CB2" w:rsidRDefault="008E71BB" w:rsidP="00F64D21">
      <w:pPr>
        <w:pStyle w:val="Prrafodelista"/>
        <w:numPr>
          <w:ilvl w:val="0"/>
          <w:numId w:val="36"/>
        </w:numPr>
        <w:spacing w:before="240" w:after="240" w:line="360" w:lineRule="auto"/>
        <w:jc w:val="both"/>
        <w:rPr>
          <w:rFonts w:ascii="Palatino Linotype" w:hAnsi="Palatino Linotype"/>
        </w:rPr>
      </w:pPr>
      <w:r w:rsidRPr="00681CB2">
        <w:rPr>
          <w:rFonts w:ascii="Palatino Linotype" w:hAnsi="Palatino Linotype"/>
        </w:rPr>
        <w:t>P</w:t>
      </w:r>
      <w:r w:rsidR="00F64D21" w:rsidRPr="00681CB2">
        <w:rPr>
          <w:rFonts w:ascii="Palatino Linotype" w:hAnsi="Palatino Linotype"/>
        </w:rPr>
        <w:t>ropuesta técnica y económica del proveedor.</w:t>
      </w:r>
    </w:p>
    <w:p w14:paraId="491FEEB3" w14:textId="137F7B50" w:rsidR="00F64D21" w:rsidRPr="00681CB2" w:rsidRDefault="00F33919" w:rsidP="00F64D21">
      <w:pPr>
        <w:pStyle w:val="Prrafodelista"/>
        <w:numPr>
          <w:ilvl w:val="0"/>
          <w:numId w:val="36"/>
        </w:numPr>
        <w:spacing w:before="240" w:after="240" w:line="360" w:lineRule="auto"/>
        <w:jc w:val="both"/>
        <w:rPr>
          <w:rFonts w:ascii="Palatino Linotype" w:hAnsi="Palatino Linotype"/>
        </w:rPr>
      </w:pPr>
      <w:r w:rsidRPr="00681CB2">
        <w:rPr>
          <w:rFonts w:ascii="Palatino Linotype" w:hAnsi="Palatino Linotype"/>
        </w:rPr>
        <w:t>En su caso, e</w:t>
      </w:r>
      <w:r w:rsidR="00F64D21" w:rsidRPr="00681CB2">
        <w:rPr>
          <w:rFonts w:ascii="Palatino Linotype" w:hAnsi="Palatino Linotype"/>
        </w:rPr>
        <w:t>studio de mercado.</w:t>
      </w:r>
    </w:p>
    <w:p w14:paraId="6A57E4E1" w14:textId="4216EDAD" w:rsidR="00F64D21" w:rsidRPr="00681CB2" w:rsidRDefault="00F64D21" w:rsidP="00F64D21">
      <w:pPr>
        <w:pStyle w:val="Prrafodelista"/>
        <w:numPr>
          <w:ilvl w:val="0"/>
          <w:numId w:val="36"/>
        </w:numPr>
        <w:spacing w:before="240" w:after="240" w:line="360" w:lineRule="auto"/>
        <w:jc w:val="both"/>
        <w:rPr>
          <w:rFonts w:ascii="Palatino Linotype" w:hAnsi="Palatino Linotype"/>
        </w:rPr>
      </w:pPr>
      <w:r w:rsidRPr="00681CB2">
        <w:rPr>
          <w:rFonts w:ascii="Palatino Linotype" w:hAnsi="Palatino Linotype" w:cs="Arial"/>
        </w:rPr>
        <w:t>Dictamen de procedencia en los casos de excepción al procedimiento de licitación que se hubieran generado.</w:t>
      </w:r>
    </w:p>
    <w:p w14:paraId="15CD44F4" w14:textId="77777777" w:rsidR="006E78BC" w:rsidRPr="00681CB2" w:rsidRDefault="00B25A82" w:rsidP="006E78BC">
      <w:pPr>
        <w:spacing w:before="240" w:after="240" w:line="360" w:lineRule="auto"/>
        <w:ind w:left="360"/>
        <w:jc w:val="both"/>
        <w:rPr>
          <w:rFonts w:ascii="Palatino Linotype" w:hAnsi="Palatino Linotype"/>
        </w:rPr>
      </w:pPr>
      <w:r w:rsidRPr="00681CB2">
        <w:rPr>
          <w:rFonts w:ascii="Palatino Linotype" w:hAnsi="Palatino Linotype"/>
        </w:rPr>
        <w:t xml:space="preserve">De ser el </w:t>
      </w:r>
      <w:r w:rsidR="003D4060" w:rsidRPr="00681CB2">
        <w:rPr>
          <w:rFonts w:ascii="Palatino Linotype" w:hAnsi="Palatino Linotype"/>
        </w:rPr>
        <w:t xml:space="preserve">caso, </w:t>
      </w:r>
      <w:r w:rsidRPr="00681CB2">
        <w:rPr>
          <w:rFonts w:ascii="Palatino Linotype" w:hAnsi="Palatino Linotype"/>
        </w:rPr>
        <w:t>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p>
    <w:p w14:paraId="76BC0C3A" w14:textId="77777777" w:rsidR="004A6A6F" w:rsidRPr="00681CB2" w:rsidRDefault="00F64D21" w:rsidP="004A6A6F">
      <w:pPr>
        <w:spacing w:before="240" w:after="240" w:line="360" w:lineRule="auto"/>
        <w:ind w:left="360"/>
        <w:jc w:val="both"/>
        <w:rPr>
          <w:rFonts w:ascii="Palatino Linotype" w:hAnsi="Palatino Linotype"/>
        </w:rPr>
      </w:pPr>
      <w:r w:rsidRPr="00681CB2">
        <w:rPr>
          <w:rFonts w:ascii="Palatino Linotype" w:hAnsi="Palatino Linotype"/>
        </w:rPr>
        <w:lastRenderedPageBreak/>
        <w:t xml:space="preserve">Para el caso, que la información que se ordena en </w:t>
      </w:r>
      <w:r w:rsidR="006E78BC" w:rsidRPr="00681CB2">
        <w:rPr>
          <w:rFonts w:ascii="Palatino Linotype" w:hAnsi="Palatino Linotype"/>
        </w:rPr>
        <w:t>e</w:t>
      </w:r>
      <w:r w:rsidRPr="00681CB2">
        <w:rPr>
          <w:rFonts w:ascii="Palatino Linotype" w:hAnsi="Palatino Linotype"/>
        </w:rPr>
        <w:t>l numer</w:t>
      </w:r>
      <w:r w:rsidR="006E78BC" w:rsidRPr="00681CB2">
        <w:rPr>
          <w:rFonts w:ascii="Palatino Linotype" w:hAnsi="Palatino Linotype"/>
        </w:rPr>
        <w:t>al 2</w:t>
      </w:r>
      <w:r w:rsidRPr="00681CB2">
        <w:rPr>
          <w:rFonts w:ascii="Palatino Linotype" w:hAnsi="Palatino Linotype"/>
        </w:rPr>
        <w:t xml:space="preserve"> </w:t>
      </w:r>
      <w:r w:rsidR="006E78BC" w:rsidRPr="00681CB2">
        <w:rPr>
          <w:rFonts w:ascii="Palatino Linotype" w:hAnsi="Palatino Linotype"/>
        </w:rPr>
        <w:t xml:space="preserve">de los incisos a) al </w:t>
      </w:r>
      <w:r w:rsidR="008E71BB" w:rsidRPr="00681CB2">
        <w:rPr>
          <w:rFonts w:ascii="Palatino Linotype" w:hAnsi="Palatino Linotype"/>
        </w:rPr>
        <w:t>e</w:t>
      </w:r>
      <w:r w:rsidR="006E78BC" w:rsidRPr="00681CB2">
        <w:rPr>
          <w:rFonts w:ascii="Palatino Linotype" w:hAnsi="Palatino Linotype"/>
        </w:rPr>
        <w:t xml:space="preserve">) no se haya generado por el Sujeto Obligado, </w:t>
      </w:r>
      <w:r w:rsidR="006E78BC" w:rsidRPr="00681CB2">
        <w:rPr>
          <w:rFonts w:ascii="Palatino Linotype" w:hAnsi="Palatino Linotype" w:cs="Arial"/>
        </w:rPr>
        <w:t>bastará con que lo haga del conocimiento del particular</w:t>
      </w:r>
      <w:r w:rsidRPr="00681CB2">
        <w:rPr>
          <w:rFonts w:ascii="Palatino Linotype" w:hAnsi="Palatino Linotype"/>
        </w:rPr>
        <w:t>.</w:t>
      </w:r>
    </w:p>
    <w:p w14:paraId="33E6F67E" w14:textId="64ACCA78" w:rsidR="004A6A6F" w:rsidRPr="00681CB2" w:rsidRDefault="006E78BC" w:rsidP="004A6A6F">
      <w:pPr>
        <w:spacing w:before="240" w:after="240" w:line="360" w:lineRule="auto"/>
        <w:ind w:left="360"/>
        <w:jc w:val="both"/>
        <w:rPr>
          <w:rFonts w:ascii="Palatino Linotype" w:hAnsi="Palatino Linotype"/>
        </w:rPr>
      </w:pPr>
      <w:r w:rsidRPr="00681CB2">
        <w:rPr>
          <w:rFonts w:ascii="Palatino Linotype" w:hAnsi="Palatino Linotype"/>
        </w:rPr>
        <w:t xml:space="preserve">De ser el caso, que la información </w:t>
      </w:r>
      <w:r w:rsidR="008E71BB" w:rsidRPr="00681CB2">
        <w:rPr>
          <w:rFonts w:ascii="Palatino Linotype" w:hAnsi="Palatino Linotype"/>
        </w:rPr>
        <w:t>correspondiente a</w:t>
      </w:r>
      <w:r w:rsidRPr="00681CB2">
        <w:rPr>
          <w:rFonts w:ascii="Palatino Linotype" w:hAnsi="Palatino Linotype"/>
        </w:rPr>
        <w:t xml:space="preserve"> los ejercicios fiscales </w:t>
      </w:r>
      <w:r w:rsidR="0022693F" w:rsidRPr="00681CB2">
        <w:rPr>
          <w:rFonts w:ascii="Palatino Linotype" w:hAnsi="Palatino Linotype" w:cs="Arial"/>
        </w:rPr>
        <w:t xml:space="preserve">del 1 de enero de 2012 </w:t>
      </w:r>
      <w:r w:rsidR="004A6A6F" w:rsidRPr="00681CB2">
        <w:rPr>
          <w:rFonts w:ascii="Palatino Linotype" w:hAnsi="Palatino Linotype"/>
        </w:rPr>
        <w:t xml:space="preserve">al 29 de agosto de </w:t>
      </w:r>
      <w:r w:rsidRPr="00681CB2">
        <w:rPr>
          <w:rFonts w:ascii="Palatino Linotype" w:hAnsi="Palatino Linotype"/>
        </w:rPr>
        <w:t>2013 ya no obre en los archivos del Sujeto Obligado</w:t>
      </w:r>
      <w:r w:rsidRPr="00681CB2">
        <w:rPr>
          <w:rFonts w:ascii="Palatino Linotype" w:hAnsi="Palatino Linotype" w:cs="Arial"/>
        </w:rPr>
        <w:t xml:space="preserve">, </w:t>
      </w:r>
      <w:r w:rsidR="004A6A6F" w:rsidRPr="00681CB2">
        <w:rPr>
          <w:rFonts w:ascii="Palatino Linotype" w:hAnsi="Palatino Linotype"/>
          <w:color w:val="000000"/>
        </w:rPr>
        <w:t>el Comité de Transparencia deberá emitir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14:paraId="1930C9F4" w14:textId="75721044" w:rsidR="00B25A82" w:rsidRPr="00681CB2" w:rsidRDefault="00B25A82" w:rsidP="00992541">
      <w:pPr>
        <w:spacing w:before="240" w:after="240" w:line="360" w:lineRule="auto"/>
        <w:jc w:val="both"/>
        <w:rPr>
          <w:rFonts w:ascii="Palatino Linotype" w:hAnsi="Palatino Linotype" w:cs="Arial"/>
          <w:b/>
        </w:rPr>
      </w:pPr>
      <w:r w:rsidRPr="00681CB2">
        <w:rPr>
          <w:rFonts w:ascii="Palatino Linotype" w:hAnsi="Palatino Linotype" w:cs="Arial"/>
          <w:b/>
          <w:bCs/>
          <w:shd w:val="clear" w:color="auto" w:fill="FFFFFF"/>
        </w:rPr>
        <w:t>Tercero. Remítase</w:t>
      </w:r>
      <w:r w:rsidRPr="00681CB2">
        <w:rPr>
          <w:rFonts w:ascii="Palatino Linotype" w:hAnsi="Palatino Linotype"/>
          <w:shd w:val="clear" w:color="auto" w:fill="FFFFFF"/>
        </w:rPr>
        <w:t xml:space="preserve"> al Responsable de la Unidad de Transparencia del</w:t>
      </w:r>
      <w:r w:rsidRPr="00681CB2">
        <w:rPr>
          <w:rStyle w:val="apple-converted-space"/>
          <w:rFonts w:ascii="Palatino Linotype" w:hAnsi="Palatino Linotype"/>
          <w:bCs/>
          <w:shd w:val="clear" w:color="auto" w:fill="FFFFFF"/>
        </w:rPr>
        <w:t> </w:t>
      </w:r>
      <w:r w:rsidRPr="00681CB2">
        <w:rPr>
          <w:rFonts w:ascii="Palatino Linotype" w:hAnsi="Palatino Linotype"/>
          <w:bCs/>
          <w:shd w:val="clear" w:color="auto" w:fill="FFFFFF"/>
        </w:rPr>
        <w:t xml:space="preserve">Sujeto Obligado </w:t>
      </w:r>
      <w:r w:rsidRPr="00681CB2">
        <w:rPr>
          <w:rStyle w:val="apple-converted-space"/>
          <w:rFonts w:ascii="Palatino Linotype" w:hAnsi="Palatino Linotype" w:cs="Arial"/>
          <w:b/>
          <w:bCs/>
          <w:i/>
          <w:iCs/>
          <w:shd w:val="clear" w:color="auto" w:fill="FFFFFF"/>
        </w:rPr>
        <w:t> </w:t>
      </w:r>
      <w:r w:rsidRPr="00681CB2">
        <w:rPr>
          <w:rStyle w:val="apple-converted-space"/>
          <w:rFonts w:ascii="Palatino Linotype" w:hAnsi="Palatino Linotype" w:cs="Arial"/>
          <w:bCs/>
          <w:iCs/>
          <w:shd w:val="clear" w:color="auto" w:fill="FFFFFF"/>
        </w:rPr>
        <w:t>la presente resolución</w:t>
      </w:r>
      <w:r w:rsidRPr="00681CB2">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7FC05939" w14:textId="77777777" w:rsidR="00B25A82" w:rsidRPr="00681CB2" w:rsidRDefault="00B25A82" w:rsidP="00992541">
      <w:pPr>
        <w:spacing w:before="240" w:after="240" w:line="360" w:lineRule="auto"/>
        <w:jc w:val="both"/>
        <w:rPr>
          <w:rFonts w:ascii="Palatino Linotype" w:hAnsi="Palatino Linotype" w:cs="Arial"/>
        </w:rPr>
      </w:pPr>
      <w:r w:rsidRPr="00681CB2">
        <w:rPr>
          <w:rFonts w:ascii="Palatino Linotype" w:hAnsi="Palatino Linotype" w:cs="Arial"/>
          <w:b/>
        </w:rPr>
        <w:t>Cuarto.  Hágase del conocimiento</w:t>
      </w:r>
      <w:r w:rsidRPr="00681CB2">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3E71228" w14:textId="2007C582" w:rsidR="00B911C0" w:rsidRPr="00681CB2" w:rsidRDefault="005E5682" w:rsidP="008B6033">
      <w:pPr>
        <w:spacing w:before="240" w:after="240" w:line="360" w:lineRule="auto"/>
        <w:jc w:val="both"/>
        <w:rPr>
          <w:rFonts w:ascii="Palatino Linotype" w:hAnsi="Palatino Linotype" w:cs="Arial"/>
        </w:rPr>
      </w:pPr>
      <w:r w:rsidRPr="00681CB2">
        <w:rPr>
          <w:rFonts w:ascii="Palatino Linotype" w:hAnsi="Palatino Linotype"/>
        </w:rPr>
        <w:lastRenderedPageBreak/>
        <w:t>ASÍ LO RESUELVE, POR UNANIMIDAD</w:t>
      </w:r>
      <w:r w:rsidR="008B6033" w:rsidRPr="00681CB2">
        <w:rPr>
          <w:rFonts w:ascii="Palatino Linotype" w:hAnsi="Palatino Linotype"/>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1D37AE" w:rsidRPr="00681CB2">
        <w:rPr>
          <w:rFonts w:ascii="Palatino Linotype" w:hAnsi="Palatino Linotype"/>
        </w:rPr>
        <w:t xml:space="preserve">; </w:t>
      </w:r>
      <w:r w:rsidR="008B6033" w:rsidRPr="00681CB2">
        <w:rPr>
          <w:rFonts w:ascii="Palatino Linotype" w:hAnsi="Palatino Linotype"/>
        </w:rPr>
        <w:t>J</w:t>
      </w:r>
      <w:r w:rsidR="00D91D7E" w:rsidRPr="00681CB2">
        <w:rPr>
          <w:rFonts w:ascii="Palatino Linotype" w:hAnsi="Palatino Linotype"/>
        </w:rPr>
        <w:t>AVIER MARTÍNEZ CRUZ</w:t>
      </w:r>
      <w:r w:rsidR="001D37AE" w:rsidRPr="00681CB2">
        <w:rPr>
          <w:rFonts w:ascii="Palatino Linotype" w:hAnsi="Palatino Linotype"/>
        </w:rPr>
        <w:t xml:space="preserve"> Y LUIS GUSTAVO PARRA NORIEGA</w:t>
      </w:r>
      <w:r w:rsidR="00D91D7E" w:rsidRPr="00681CB2">
        <w:rPr>
          <w:rFonts w:ascii="Palatino Linotype" w:hAnsi="Palatino Linotype"/>
        </w:rPr>
        <w:t xml:space="preserve">; EN LA </w:t>
      </w:r>
      <w:r w:rsidRPr="00681CB2">
        <w:rPr>
          <w:rFonts w:ascii="Palatino Linotype" w:hAnsi="Palatino Linotype"/>
        </w:rPr>
        <w:t>TRIGÉSIMA</w:t>
      </w:r>
      <w:r w:rsidR="00655B2E" w:rsidRPr="00681CB2">
        <w:rPr>
          <w:rFonts w:ascii="Palatino Linotype" w:hAnsi="Palatino Linotype"/>
        </w:rPr>
        <w:t xml:space="preserve"> </w:t>
      </w:r>
      <w:r w:rsidR="00330F6F">
        <w:rPr>
          <w:rFonts w:ascii="Palatino Linotype" w:hAnsi="Palatino Linotype"/>
        </w:rPr>
        <w:t>OCTAVA</w:t>
      </w:r>
      <w:r w:rsidR="00655B2E" w:rsidRPr="00681CB2">
        <w:rPr>
          <w:rFonts w:ascii="Palatino Linotype" w:hAnsi="Palatino Linotype"/>
        </w:rPr>
        <w:t xml:space="preserve"> </w:t>
      </w:r>
      <w:r w:rsidR="00D91D7E" w:rsidRPr="00681CB2">
        <w:rPr>
          <w:rFonts w:ascii="Palatino Linotype" w:hAnsi="Palatino Linotype"/>
        </w:rPr>
        <w:t xml:space="preserve">SESIÓN ORDINARIA CELEBRADA EL </w:t>
      </w:r>
      <w:r w:rsidR="00330F6F">
        <w:rPr>
          <w:rFonts w:ascii="Palatino Linotype" w:hAnsi="Palatino Linotype"/>
        </w:rPr>
        <w:t>DIECISIETE</w:t>
      </w:r>
      <w:r w:rsidR="008B6033" w:rsidRPr="00681CB2">
        <w:rPr>
          <w:rFonts w:ascii="Palatino Linotype" w:hAnsi="Palatino Linotype"/>
        </w:rPr>
        <w:t xml:space="preserve"> DE </w:t>
      </w:r>
      <w:r w:rsidR="00330F6F">
        <w:rPr>
          <w:rFonts w:ascii="Palatino Linotype" w:hAnsi="Palatino Linotype"/>
        </w:rPr>
        <w:t>OCTUBRE</w:t>
      </w:r>
      <w:r w:rsidRPr="00681CB2">
        <w:rPr>
          <w:rFonts w:ascii="Palatino Linotype" w:hAnsi="Palatino Linotype"/>
        </w:rPr>
        <w:t xml:space="preserve"> </w:t>
      </w:r>
      <w:r w:rsidR="008B6033" w:rsidRPr="00681CB2">
        <w:rPr>
          <w:rFonts w:ascii="Palatino Linotype" w:hAnsi="Palatino Linotype"/>
        </w:rPr>
        <w:t>DE DOS MIL DIECIOCHO, ANTE EL SECRETARIO TÉCNICO DEL PLENO ALEXIS TAPIA RAMÍREZ.</w:t>
      </w:r>
      <w:r w:rsidR="008B6033" w:rsidRPr="00681CB2">
        <w:rPr>
          <w:rFonts w:ascii="Palatino Linotype" w:hAnsi="Palatino Linotype" w:cs="Arial"/>
        </w:rPr>
        <w:t xml:space="preserve"> </w:t>
      </w:r>
    </w:p>
    <w:p w14:paraId="7D5D53A3" w14:textId="77777777" w:rsidR="00826B63" w:rsidRPr="00681CB2" w:rsidRDefault="00826B63" w:rsidP="008B6033">
      <w:pPr>
        <w:spacing w:before="240" w:after="240" w:line="360" w:lineRule="auto"/>
        <w:jc w:val="both"/>
        <w:rPr>
          <w:rFonts w:ascii="Palatino Linotype" w:hAnsi="Palatino Linotype" w:cs="Arial"/>
        </w:rPr>
      </w:pPr>
    </w:p>
    <w:p w14:paraId="65603ADB" w14:textId="77777777" w:rsidR="00684F57" w:rsidRDefault="00684F57" w:rsidP="008B6033">
      <w:pPr>
        <w:spacing w:before="240" w:after="240" w:line="360" w:lineRule="auto"/>
        <w:jc w:val="both"/>
        <w:rPr>
          <w:rFonts w:ascii="Palatino Linotype" w:hAnsi="Palatino Linotype" w:cs="Arial"/>
          <w:sz w:val="16"/>
        </w:rPr>
      </w:pPr>
    </w:p>
    <w:p w14:paraId="5EEC170F" w14:textId="77777777" w:rsidR="00E9617C" w:rsidRPr="00681CB2" w:rsidRDefault="00E9617C" w:rsidP="008B6033">
      <w:pPr>
        <w:spacing w:before="240" w:after="240" w:line="360" w:lineRule="auto"/>
        <w:jc w:val="both"/>
        <w:rPr>
          <w:rFonts w:ascii="Palatino Linotype" w:hAnsi="Palatino Linotype" w:cs="Arial"/>
          <w:sz w:val="16"/>
        </w:rPr>
      </w:pPr>
    </w:p>
    <w:tbl>
      <w:tblPr>
        <w:tblStyle w:val="Tablaconcuadrcula"/>
        <w:tblW w:w="53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6"/>
        <w:gridCol w:w="4929"/>
      </w:tblGrid>
      <w:tr w:rsidR="008B6033" w:rsidRPr="00681CB2" w14:paraId="1E0C7A4D" w14:textId="77777777" w:rsidTr="001D37AE">
        <w:trPr>
          <w:trHeight w:val="801"/>
        </w:trPr>
        <w:tc>
          <w:tcPr>
            <w:tcW w:w="5000" w:type="pct"/>
            <w:gridSpan w:val="2"/>
          </w:tcPr>
          <w:p w14:paraId="55CB82FC" w14:textId="77777777" w:rsidR="008B6033" w:rsidRPr="00681CB2" w:rsidRDefault="008B6033" w:rsidP="00C86EB3">
            <w:pPr>
              <w:jc w:val="center"/>
              <w:rPr>
                <w:rFonts w:ascii="Palatino Linotype" w:hAnsi="Palatino Linotype" w:cs="Arial"/>
                <w:b/>
              </w:rPr>
            </w:pPr>
            <w:r w:rsidRPr="00681CB2">
              <w:rPr>
                <w:rFonts w:ascii="Palatino Linotype" w:hAnsi="Palatino Linotype" w:cs="Arial"/>
                <w:b/>
              </w:rPr>
              <w:t>Zulema Martínez Sánchez</w:t>
            </w:r>
            <w:r w:rsidRPr="00681CB2">
              <w:rPr>
                <w:rFonts w:ascii="Palatino Linotype" w:hAnsi="Palatino Linotype" w:cs="Arial"/>
              </w:rPr>
              <w:t xml:space="preserve"> </w:t>
            </w:r>
          </w:p>
          <w:p w14:paraId="7B6CDDAD" w14:textId="77777777" w:rsidR="008B6033" w:rsidRPr="00681CB2" w:rsidRDefault="008B6033" w:rsidP="00C86EB3">
            <w:pPr>
              <w:jc w:val="center"/>
              <w:rPr>
                <w:rFonts w:ascii="Palatino Linotype" w:hAnsi="Palatino Linotype" w:cs="Arial"/>
              </w:rPr>
            </w:pPr>
            <w:r w:rsidRPr="00681CB2">
              <w:rPr>
                <w:rFonts w:ascii="Palatino Linotype" w:hAnsi="Palatino Linotype" w:cs="Arial"/>
              </w:rPr>
              <w:t>Comisionada Presidenta</w:t>
            </w:r>
          </w:p>
          <w:p w14:paraId="1A8137C7" w14:textId="5AAEE625" w:rsidR="008B6033" w:rsidRPr="00681CB2" w:rsidRDefault="008B6033" w:rsidP="005E7A7B">
            <w:pPr>
              <w:jc w:val="center"/>
              <w:rPr>
                <w:rFonts w:ascii="Palatino Linotype" w:hAnsi="Palatino Linotype" w:cs="Arial"/>
              </w:rPr>
            </w:pPr>
          </w:p>
          <w:p w14:paraId="59C41C4E" w14:textId="77777777" w:rsidR="005E5682" w:rsidRPr="00681CB2" w:rsidRDefault="005E5682" w:rsidP="00C86EB3">
            <w:pPr>
              <w:jc w:val="center"/>
              <w:rPr>
                <w:rFonts w:ascii="Palatino Linotype" w:hAnsi="Palatino Linotype" w:cs="Arial"/>
              </w:rPr>
            </w:pPr>
          </w:p>
          <w:p w14:paraId="544D5A72" w14:textId="77777777" w:rsidR="008B6033" w:rsidRPr="00681CB2" w:rsidRDefault="008B6033" w:rsidP="00C86EB3">
            <w:pPr>
              <w:rPr>
                <w:rFonts w:ascii="Palatino Linotype" w:hAnsi="Palatino Linotype" w:cs="Arial"/>
              </w:rPr>
            </w:pPr>
          </w:p>
          <w:p w14:paraId="73357897" w14:textId="77777777" w:rsidR="00B911C0" w:rsidRPr="00681CB2" w:rsidRDefault="00B911C0" w:rsidP="00C86EB3">
            <w:pPr>
              <w:rPr>
                <w:rFonts w:ascii="Palatino Linotype" w:hAnsi="Palatino Linotype" w:cs="Arial"/>
              </w:rPr>
            </w:pPr>
          </w:p>
          <w:p w14:paraId="223D8CCB" w14:textId="77777777" w:rsidR="00684F57" w:rsidRDefault="00684F57" w:rsidP="00C86EB3">
            <w:pPr>
              <w:rPr>
                <w:rFonts w:ascii="Palatino Linotype" w:hAnsi="Palatino Linotype" w:cs="Arial"/>
              </w:rPr>
            </w:pPr>
          </w:p>
          <w:p w14:paraId="2E4F0244" w14:textId="77777777" w:rsidR="00E9617C" w:rsidRDefault="00E9617C" w:rsidP="00C86EB3">
            <w:pPr>
              <w:rPr>
                <w:rFonts w:ascii="Palatino Linotype" w:hAnsi="Palatino Linotype" w:cs="Arial"/>
              </w:rPr>
            </w:pPr>
          </w:p>
          <w:p w14:paraId="073BD950" w14:textId="77777777" w:rsidR="00E9617C" w:rsidRPr="00681CB2" w:rsidRDefault="00E9617C" w:rsidP="00C86EB3">
            <w:pPr>
              <w:rPr>
                <w:rFonts w:ascii="Palatino Linotype" w:hAnsi="Palatino Linotype" w:cs="Arial"/>
              </w:rPr>
            </w:pPr>
          </w:p>
        </w:tc>
      </w:tr>
      <w:tr w:rsidR="008B6033" w:rsidRPr="00681CB2" w14:paraId="6C24D492" w14:textId="77777777" w:rsidTr="001D37AE">
        <w:trPr>
          <w:trHeight w:val="783"/>
        </w:trPr>
        <w:tc>
          <w:tcPr>
            <w:tcW w:w="2385" w:type="pct"/>
          </w:tcPr>
          <w:p w14:paraId="5FBCA434" w14:textId="77777777" w:rsidR="008B6033" w:rsidRPr="00681CB2" w:rsidRDefault="008B6033" w:rsidP="00C86EB3">
            <w:pPr>
              <w:jc w:val="center"/>
              <w:rPr>
                <w:rFonts w:ascii="Palatino Linotype" w:hAnsi="Palatino Linotype" w:cs="Arial"/>
                <w:b/>
              </w:rPr>
            </w:pPr>
          </w:p>
          <w:p w14:paraId="3649A903" w14:textId="77777777" w:rsidR="008B6033" w:rsidRPr="00681CB2" w:rsidRDefault="008B6033" w:rsidP="00C86EB3">
            <w:pPr>
              <w:jc w:val="center"/>
              <w:rPr>
                <w:rFonts w:ascii="Palatino Linotype" w:hAnsi="Palatino Linotype" w:cs="Arial"/>
                <w:b/>
              </w:rPr>
            </w:pPr>
            <w:r w:rsidRPr="00681CB2">
              <w:rPr>
                <w:rFonts w:ascii="Palatino Linotype" w:hAnsi="Palatino Linotype" w:cs="Arial"/>
                <w:b/>
              </w:rPr>
              <w:t>Eva Abaid Yapur</w:t>
            </w:r>
          </w:p>
          <w:p w14:paraId="42E5B9CC" w14:textId="77777777" w:rsidR="008B6033" w:rsidRPr="00681CB2" w:rsidRDefault="008B6033" w:rsidP="00C86EB3">
            <w:pPr>
              <w:jc w:val="center"/>
              <w:rPr>
                <w:rFonts w:ascii="Palatino Linotype" w:hAnsi="Palatino Linotype" w:cs="Arial"/>
              </w:rPr>
            </w:pPr>
            <w:r w:rsidRPr="00681CB2">
              <w:rPr>
                <w:rFonts w:ascii="Palatino Linotype" w:hAnsi="Palatino Linotype" w:cs="Arial"/>
              </w:rPr>
              <w:t>Comisionada</w:t>
            </w:r>
          </w:p>
          <w:p w14:paraId="5B317163" w14:textId="02577775" w:rsidR="005E7A7B" w:rsidRPr="00681CB2" w:rsidRDefault="005E7A7B" w:rsidP="005E7A7B">
            <w:pPr>
              <w:jc w:val="center"/>
              <w:rPr>
                <w:rFonts w:ascii="Palatino Linotype" w:hAnsi="Palatino Linotype" w:cs="Arial"/>
              </w:rPr>
            </w:pPr>
          </w:p>
          <w:p w14:paraId="06ED72CD" w14:textId="34D74E1B" w:rsidR="00434932" w:rsidRPr="00681CB2" w:rsidRDefault="00434932" w:rsidP="00434932">
            <w:pPr>
              <w:jc w:val="center"/>
              <w:rPr>
                <w:rFonts w:ascii="Palatino Linotype" w:hAnsi="Palatino Linotype" w:cs="Arial"/>
              </w:rPr>
            </w:pPr>
          </w:p>
          <w:p w14:paraId="7D3696C8" w14:textId="1E42263B" w:rsidR="00574665" w:rsidRPr="00681CB2" w:rsidRDefault="00574665" w:rsidP="00574665">
            <w:pPr>
              <w:jc w:val="center"/>
              <w:rPr>
                <w:rFonts w:ascii="Palatino Linotype" w:hAnsi="Palatino Linotype" w:cs="Arial"/>
              </w:rPr>
            </w:pPr>
          </w:p>
          <w:p w14:paraId="02159B8F" w14:textId="71985637" w:rsidR="008B6033" w:rsidRPr="00681CB2" w:rsidRDefault="008B6033" w:rsidP="00C86EB3">
            <w:pPr>
              <w:jc w:val="center"/>
              <w:rPr>
                <w:rFonts w:ascii="Palatino Linotype" w:hAnsi="Palatino Linotype" w:cs="Arial"/>
              </w:rPr>
            </w:pPr>
          </w:p>
          <w:p w14:paraId="276C9524" w14:textId="77777777" w:rsidR="008B6033" w:rsidRPr="00681CB2" w:rsidRDefault="008B6033" w:rsidP="00C86EB3">
            <w:pPr>
              <w:rPr>
                <w:rFonts w:ascii="Palatino Linotype" w:hAnsi="Palatino Linotype" w:cs="Arial"/>
              </w:rPr>
            </w:pPr>
          </w:p>
        </w:tc>
        <w:tc>
          <w:tcPr>
            <w:tcW w:w="2615" w:type="pct"/>
          </w:tcPr>
          <w:p w14:paraId="576EA015" w14:textId="77777777" w:rsidR="008B6033" w:rsidRPr="00681CB2" w:rsidRDefault="008B6033" w:rsidP="00C86EB3">
            <w:pPr>
              <w:jc w:val="center"/>
              <w:rPr>
                <w:rFonts w:ascii="Palatino Linotype" w:hAnsi="Palatino Linotype" w:cs="Arial"/>
                <w:b/>
              </w:rPr>
            </w:pPr>
          </w:p>
          <w:p w14:paraId="4A0020AB" w14:textId="77777777" w:rsidR="008B6033" w:rsidRPr="00681CB2" w:rsidRDefault="008B6033" w:rsidP="00C86EB3">
            <w:pPr>
              <w:jc w:val="center"/>
              <w:rPr>
                <w:rFonts w:ascii="Palatino Linotype" w:hAnsi="Palatino Linotype" w:cs="Arial"/>
                <w:b/>
              </w:rPr>
            </w:pPr>
            <w:r w:rsidRPr="00681CB2">
              <w:rPr>
                <w:rFonts w:ascii="Palatino Linotype" w:hAnsi="Palatino Linotype" w:cs="Arial"/>
                <w:b/>
              </w:rPr>
              <w:t>José Guadalupe Luna Hernández</w:t>
            </w:r>
          </w:p>
          <w:p w14:paraId="01F20E33" w14:textId="77777777" w:rsidR="008B6033" w:rsidRPr="00681CB2" w:rsidRDefault="008B6033" w:rsidP="00C86EB3">
            <w:pPr>
              <w:jc w:val="center"/>
              <w:rPr>
                <w:rFonts w:ascii="Palatino Linotype" w:hAnsi="Palatino Linotype" w:cs="Arial"/>
              </w:rPr>
            </w:pPr>
            <w:r w:rsidRPr="00681CB2">
              <w:rPr>
                <w:rFonts w:ascii="Palatino Linotype" w:hAnsi="Palatino Linotype" w:cs="Arial"/>
              </w:rPr>
              <w:t>Comisionado</w:t>
            </w:r>
          </w:p>
          <w:p w14:paraId="79B239A9" w14:textId="0625459C" w:rsidR="005E7A7B" w:rsidRPr="00681CB2" w:rsidRDefault="005E7A7B" w:rsidP="005E7A7B">
            <w:pPr>
              <w:jc w:val="center"/>
              <w:rPr>
                <w:rFonts w:ascii="Palatino Linotype" w:hAnsi="Palatino Linotype" w:cs="Arial"/>
              </w:rPr>
            </w:pPr>
          </w:p>
          <w:p w14:paraId="5E59E7C8" w14:textId="34E44F0A" w:rsidR="00434932" w:rsidRPr="00681CB2" w:rsidRDefault="00434932" w:rsidP="00434932">
            <w:pPr>
              <w:jc w:val="center"/>
              <w:rPr>
                <w:rFonts w:ascii="Palatino Linotype" w:hAnsi="Palatino Linotype" w:cs="Arial"/>
              </w:rPr>
            </w:pPr>
          </w:p>
          <w:p w14:paraId="32437CB4" w14:textId="0968CF2D" w:rsidR="00574665" w:rsidRDefault="00574665" w:rsidP="00574665">
            <w:pPr>
              <w:jc w:val="center"/>
              <w:rPr>
                <w:rFonts w:ascii="Palatino Linotype" w:hAnsi="Palatino Linotype" w:cs="Arial"/>
              </w:rPr>
            </w:pPr>
          </w:p>
          <w:p w14:paraId="0BB2C35B" w14:textId="77777777" w:rsidR="00E9617C" w:rsidRDefault="00E9617C" w:rsidP="00574665">
            <w:pPr>
              <w:jc w:val="center"/>
              <w:rPr>
                <w:rFonts w:ascii="Palatino Linotype" w:hAnsi="Palatino Linotype" w:cs="Arial"/>
              </w:rPr>
            </w:pPr>
          </w:p>
          <w:p w14:paraId="188889C8" w14:textId="77777777" w:rsidR="008B6033" w:rsidRDefault="008B6033" w:rsidP="00CA6BFC">
            <w:pPr>
              <w:jc w:val="center"/>
              <w:rPr>
                <w:rFonts w:ascii="Palatino Linotype" w:hAnsi="Palatino Linotype" w:cs="Arial"/>
              </w:rPr>
            </w:pPr>
          </w:p>
          <w:p w14:paraId="25709C31" w14:textId="37DF9CA0" w:rsidR="00CA6BFC" w:rsidRPr="00681CB2" w:rsidRDefault="00CA6BFC" w:rsidP="00CA6BFC">
            <w:pPr>
              <w:jc w:val="center"/>
              <w:rPr>
                <w:rFonts w:ascii="Palatino Linotype" w:hAnsi="Palatino Linotype" w:cs="Arial"/>
              </w:rPr>
            </w:pPr>
          </w:p>
        </w:tc>
      </w:tr>
      <w:tr w:rsidR="001D37AE" w:rsidRPr="00681CB2" w14:paraId="41A4D4D8" w14:textId="77777777" w:rsidTr="001D37AE">
        <w:trPr>
          <w:trHeight w:val="2529"/>
        </w:trPr>
        <w:tc>
          <w:tcPr>
            <w:tcW w:w="2385" w:type="pct"/>
            <w:hideMark/>
          </w:tcPr>
          <w:p w14:paraId="5BFBDDE6" w14:textId="77777777" w:rsidR="001D37AE" w:rsidRPr="00681CB2" w:rsidRDefault="001D37AE" w:rsidP="00C86EB3">
            <w:pPr>
              <w:jc w:val="center"/>
              <w:rPr>
                <w:rFonts w:ascii="Palatino Linotype" w:hAnsi="Palatino Linotype" w:cs="Arial"/>
                <w:b/>
              </w:rPr>
            </w:pPr>
          </w:p>
          <w:p w14:paraId="687C99F1" w14:textId="77777777" w:rsidR="001D37AE" w:rsidRPr="00681CB2" w:rsidRDefault="001D37AE" w:rsidP="00C86EB3">
            <w:pPr>
              <w:jc w:val="center"/>
              <w:rPr>
                <w:rFonts w:ascii="Palatino Linotype" w:hAnsi="Palatino Linotype" w:cs="Arial"/>
                <w:b/>
              </w:rPr>
            </w:pPr>
          </w:p>
          <w:p w14:paraId="480617E5" w14:textId="77777777" w:rsidR="001D37AE" w:rsidRPr="00681CB2" w:rsidRDefault="001D37AE" w:rsidP="00C86EB3">
            <w:pPr>
              <w:jc w:val="center"/>
              <w:rPr>
                <w:rFonts w:ascii="Palatino Linotype" w:hAnsi="Palatino Linotype" w:cs="Arial"/>
                <w:b/>
              </w:rPr>
            </w:pPr>
          </w:p>
          <w:p w14:paraId="0F2AA724" w14:textId="77777777" w:rsidR="001D37AE" w:rsidRPr="00681CB2" w:rsidRDefault="001D37AE" w:rsidP="00C86EB3">
            <w:pPr>
              <w:jc w:val="center"/>
              <w:rPr>
                <w:rFonts w:ascii="Palatino Linotype" w:hAnsi="Palatino Linotype" w:cs="Arial"/>
                <w:b/>
              </w:rPr>
            </w:pPr>
            <w:r w:rsidRPr="00681CB2">
              <w:rPr>
                <w:rFonts w:ascii="Palatino Linotype" w:hAnsi="Palatino Linotype" w:cs="Arial"/>
                <w:b/>
              </w:rPr>
              <w:t>Javier Martínez Cruz</w:t>
            </w:r>
          </w:p>
          <w:p w14:paraId="725ADBD4" w14:textId="77777777" w:rsidR="001D37AE" w:rsidRPr="00681CB2" w:rsidRDefault="001D37AE" w:rsidP="00C86EB3">
            <w:pPr>
              <w:jc w:val="center"/>
              <w:rPr>
                <w:rFonts w:ascii="Palatino Linotype" w:hAnsi="Palatino Linotype" w:cs="Arial"/>
              </w:rPr>
            </w:pPr>
            <w:r w:rsidRPr="00681CB2">
              <w:rPr>
                <w:rFonts w:ascii="Palatino Linotype" w:hAnsi="Palatino Linotype" w:cs="Arial"/>
              </w:rPr>
              <w:t>Comisionado</w:t>
            </w:r>
          </w:p>
          <w:p w14:paraId="12D7BE75" w14:textId="64856B25" w:rsidR="005E7A7B" w:rsidRPr="00681CB2" w:rsidRDefault="005E7A7B" w:rsidP="005E7A7B">
            <w:pPr>
              <w:jc w:val="center"/>
              <w:rPr>
                <w:rFonts w:ascii="Palatino Linotype" w:hAnsi="Palatino Linotype" w:cs="Arial"/>
              </w:rPr>
            </w:pPr>
          </w:p>
          <w:p w14:paraId="2099526C" w14:textId="1E77ADDB" w:rsidR="001D37AE" w:rsidRPr="00681CB2" w:rsidRDefault="001D37AE" w:rsidP="00434932">
            <w:pPr>
              <w:jc w:val="center"/>
              <w:rPr>
                <w:rFonts w:ascii="Palatino Linotype" w:hAnsi="Palatino Linotype" w:cs="Arial"/>
              </w:rPr>
            </w:pPr>
          </w:p>
        </w:tc>
        <w:tc>
          <w:tcPr>
            <w:tcW w:w="2615" w:type="pct"/>
          </w:tcPr>
          <w:p w14:paraId="6213DD94" w14:textId="1346DD02" w:rsidR="001D37AE" w:rsidRPr="00681CB2" w:rsidRDefault="001D37AE" w:rsidP="00574665">
            <w:pPr>
              <w:jc w:val="center"/>
              <w:rPr>
                <w:rFonts w:ascii="Palatino Linotype" w:hAnsi="Palatino Linotype" w:cs="Arial"/>
              </w:rPr>
            </w:pPr>
          </w:p>
          <w:p w14:paraId="22B0465C" w14:textId="69BD188B" w:rsidR="001D37AE" w:rsidRPr="00681CB2" w:rsidRDefault="001D37AE" w:rsidP="00C86EB3">
            <w:pPr>
              <w:jc w:val="center"/>
              <w:rPr>
                <w:rFonts w:ascii="Palatino Linotype" w:hAnsi="Palatino Linotype" w:cs="Arial"/>
              </w:rPr>
            </w:pPr>
          </w:p>
          <w:p w14:paraId="7853A41F" w14:textId="77777777" w:rsidR="001D37AE" w:rsidRPr="00681CB2" w:rsidRDefault="001D37AE" w:rsidP="00C86EB3">
            <w:pPr>
              <w:jc w:val="center"/>
              <w:rPr>
                <w:rFonts w:ascii="Palatino Linotype" w:hAnsi="Palatino Linotype" w:cs="Arial"/>
              </w:rPr>
            </w:pPr>
          </w:p>
          <w:p w14:paraId="1D58978D" w14:textId="4D5C12DC" w:rsidR="001D37AE" w:rsidRPr="00681CB2" w:rsidRDefault="001D37AE" w:rsidP="001D37AE">
            <w:pPr>
              <w:jc w:val="center"/>
              <w:rPr>
                <w:rFonts w:ascii="Palatino Linotype" w:hAnsi="Palatino Linotype" w:cs="Arial"/>
                <w:b/>
              </w:rPr>
            </w:pPr>
            <w:r w:rsidRPr="00681CB2">
              <w:rPr>
                <w:rFonts w:ascii="Palatino Linotype" w:hAnsi="Palatino Linotype" w:cs="Arial"/>
                <w:b/>
              </w:rPr>
              <w:t>Luis Gustavo Parra Noriega</w:t>
            </w:r>
          </w:p>
          <w:p w14:paraId="6ABAAEF2" w14:textId="77777777" w:rsidR="001D37AE" w:rsidRPr="00681CB2" w:rsidRDefault="001D37AE" w:rsidP="001D37AE">
            <w:pPr>
              <w:jc w:val="center"/>
              <w:rPr>
                <w:rFonts w:ascii="Palatino Linotype" w:hAnsi="Palatino Linotype" w:cs="Arial"/>
              </w:rPr>
            </w:pPr>
            <w:r w:rsidRPr="00681CB2">
              <w:rPr>
                <w:rFonts w:ascii="Palatino Linotype" w:hAnsi="Palatino Linotype" w:cs="Arial"/>
              </w:rPr>
              <w:t>Comisionado</w:t>
            </w:r>
          </w:p>
          <w:p w14:paraId="455AFA36" w14:textId="0A032D86" w:rsidR="005E7A7B" w:rsidRPr="00681CB2" w:rsidRDefault="00E9617C" w:rsidP="005E7A7B">
            <w:pPr>
              <w:jc w:val="center"/>
              <w:rPr>
                <w:rFonts w:ascii="Palatino Linotype" w:hAnsi="Palatino Linotype" w:cs="Arial"/>
              </w:rPr>
            </w:pPr>
            <w:r>
              <w:rPr>
                <w:rFonts w:ascii="Palatino Linotype" w:hAnsi="Palatino Linotype" w:cs="Arial"/>
              </w:rPr>
              <w:t xml:space="preserve"> </w:t>
            </w:r>
          </w:p>
          <w:p w14:paraId="39A544D2" w14:textId="255EDBBF" w:rsidR="001D37AE" w:rsidRPr="00681CB2" w:rsidRDefault="001D37AE" w:rsidP="001D37AE">
            <w:pPr>
              <w:rPr>
                <w:rFonts w:ascii="Palatino Linotype" w:hAnsi="Palatino Linotype" w:cs="Arial"/>
              </w:rPr>
            </w:pPr>
          </w:p>
          <w:p w14:paraId="2FBC8226" w14:textId="77777777" w:rsidR="001D37AE" w:rsidRPr="00681CB2" w:rsidRDefault="001D37AE" w:rsidP="00C86EB3">
            <w:pPr>
              <w:rPr>
                <w:rFonts w:ascii="Palatino Linotype" w:hAnsi="Palatino Linotype" w:cs="Arial"/>
              </w:rPr>
            </w:pPr>
          </w:p>
          <w:p w14:paraId="6DD9AD97" w14:textId="77777777" w:rsidR="001D37AE" w:rsidRDefault="001D37AE" w:rsidP="00C86EB3">
            <w:pPr>
              <w:rPr>
                <w:rFonts w:ascii="Palatino Linotype" w:hAnsi="Palatino Linotype" w:cs="Arial"/>
              </w:rPr>
            </w:pPr>
          </w:p>
          <w:p w14:paraId="2816BF39" w14:textId="77777777" w:rsidR="00E9617C" w:rsidRPr="00681CB2" w:rsidRDefault="00E9617C" w:rsidP="00C86EB3">
            <w:pPr>
              <w:rPr>
                <w:rFonts w:ascii="Palatino Linotype" w:hAnsi="Palatino Linotype" w:cs="Arial"/>
              </w:rPr>
            </w:pPr>
          </w:p>
          <w:p w14:paraId="29E141C4" w14:textId="77777777" w:rsidR="001D37AE" w:rsidRPr="00681CB2" w:rsidRDefault="001D37AE" w:rsidP="00C86EB3">
            <w:pPr>
              <w:rPr>
                <w:rFonts w:ascii="Palatino Linotype" w:hAnsi="Palatino Linotype" w:cs="Arial"/>
              </w:rPr>
            </w:pPr>
          </w:p>
        </w:tc>
      </w:tr>
      <w:tr w:rsidR="008B6033" w:rsidRPr="00681CB2" w14:paraId="5E826C93" w14:textId="77777777" w:rsidTr="001D37AE">
        <w:trPr>
          <w:trHeight w:val="2529"/>
        </w:trPr>
        <w:tc>
          <w:tcPr>
            <w:tcW w:w="5000" w:type="pct"/>
            <w:gridSpan w:val="2"/>
          </w:tcPr>
          <w:p w14:paraId="6B8637BC" w14:textId="77777777" w:rsidR="008B6033" w:rsidRPr="00681CB2" w:rsidRDefault="008B6033" w:rsidP="00C86EB3">
            <w:pPr>
              <w:jc w:val="center"/>
              <w:rPr>
                <w:rFonts w:ascii="Palatino Linotype" w:hAnsi="Palatino Linotype" w:cs="Arial"/>
                <w:b/>
              </w:rPr>
            </w:pPr>
            <w:r w:rsidRPr="00681CB2">
              <w:rPr>
                <w:rFonts w:ascii="Palatino Linotype" w:hAnsi="Palatino Linotype" w:cs="Arial"/>
                <w:b/>
              </w:rPr>
              <w:t>Alexis Tapia Ramírez</w:t>
            </w:r>
          </w:p>
          <w:p w14:paraId="17151C43" w14:textId="77777777" w:rsidR="008B6033" w:rsidRPr="00681CB2" w:rsidRDefault="008B6033" w:rsidP="00C86EB3">
            <w:pPr>
              <w:tabs>
                <w:tab w:val="left" w:pos="780"/>
                <w:tab w:val="center" w:pos="4499"/>
              </w:tabs>
              <w:jc w:val="center"/>
              <w:rPr>
                <w:rFonts w:ascii="Palatino Linotype" w:hAnsi="Palatino Linotype" w:cs="Arial"/>
              </w:rPr>
            </w:pPr>
            <w:r w:rsidRPr="00681CB2">
              <w:rPr>
                <w:rFonts w:ascii="Palatino Linotype" w:hAnsi="Palatino Linotype" w:cs="Arial"/>
              </w:rPr>
              <w:t>Secretario Técnico del Pleno</w:t>
            </w:r>
          </w:p>
          <w:p w14:paraId="2F286EF4" w14:textId="68801CE9" w:rsidR="00574665" w:rsidRPr="00681CB2" w:rsidRDefault="00574665" w:rsidP="00574665">
            <w:pPr>
              <w:jc w:val="center"/>
              <w:rPr>
                <w:rFonts w:ascii="Palatino Linotype" w:hAnsi="Palatino Linotype" w:cs="Arial"/>
              </w:rPr>
            </w:pPr>
          </w:p>
          <w:p w14:paraId="1FE9FEA6" w14:textId="43CEC8DA" w:rsidR="008B6033" w:rsidRPr="00681CB2" w:rsidRDefault="008B6033" w:rsidP="00C86EB3">
            <w:pPr>
              <w:jc w:val="center"/>
              <w:rPr>
                <w:rFonts w:ascii="Palatino Linotype" w:hAnsi="Palatino Linotype" w:cs="Arial"/>
              </w:rPr>
            </w:pPr>
          </w:p>
          <w:p w14:paraId="6EDAE4A4" w14:textId="77777777" w:rsidR="008B6033" w:rsidRPr="00681CB2" w:rsidRDefault="008B6033" w:rsidP="00C86EB3">
            <w:pPr>
              <w:jc w:val="center"/>
              <w:rPr>
                <w:rFonts w:ascii="Palatino Linotype" w:hAnsi="Palatino Linotype" w:cs="Arial"/>
              </w:rPr>
            </w:pPr>
          </w:p>
        </w:tc>
      </w:tr>
    </w:tbl>
    <w:p w14:paraId="4C8C2D20" w14:textId="5C783421" w:rsidR="008B6033" w:rsidRPr="00811E9F" w:rsidRDefault="008B6033" w:rsidP="008B6033">
      <w:pPr>
        <w:jc w:val="both"/>
        <w:rPr>
          <w:rFonts w:ascii="Palatino Linotype" w:hAnsi="Palatino Linotype" w:cs="Arial"/>
          <w:sz w:val="18"/>
          <w:szCs w:val="18"/>
        </w:rPr>
      </w:pPr>
      <w:r w:rsidRPr="00681CB2">
        <w:rPr>
          <w:rFonts w:ascii="Palatino Linotype" w:hAnsi="Palatino Linotype" w:cs="Arial"/>
          <w:sz w:val="18"/>
          <w:szCs w:val="18"/>
        </w:rPr>
        <w:t>Esta hoja co</w:t>
      </w:r>
      <w:r w:rsidR="00D91D7E" w:rsidRPr="00681CB2">
        <w:rPr>
          <w:rFonts w:ascii="Palatino Linotype" w:hAnsi="Palatino Linotype" w:cs="Arial"/>
          <w:sz w:val="18"/>
          <w:szCs w:val="18"/>
        </w:rPr>
        <w:t xml:space="preserve">rresponde a la resolución del </w:t>
      </w:r>
      <w:r w:rsidR="00330F6F">
        <w:rPr>
          <w:rFonts w:ascii="Palatino Linotype" w:hAnsi="Palatino Linotype" w:cs="Arial"/>
          <w:sz w:val="18"/>
          <w:szCs w:val="18"/>
        </w:rPr>
        <w:t>diecisiete</w:t>
      </w:r>
      <w:r w:rsidR="005E7A7B" w:rsidRPr="00681CB2">
        <w:rPr>
          <w:rFonts w:ascii="Palatino Linotype" w:hAnsi="Palatino Linotype" w:cs="Arial"/>
          <w:sz w:val="18"/>
          <w:szCs w:val="18"/>
        </w:rPr>
        <w:t xml:space="preserve"> </w:t>
      </w:r>
      <w:r w:rsidRPr="00681CB2">
        <w:rPr>
          <w:rFonts w:ascii="Palatino Linotype" w:hAnsi="Palatino Linotype" w:cs="Arial"/>
          <w:sz w:val="18"/>
          <w:szCs w:val="18"/>
        </w:rPr>
        <w:t xml:space="preserve">de </w:t>
      </w:r>
      <w:r w:rsidR="00330F6F">
        <w:rPr>
          <w:rFonts w:ascii="Palatino Linotype" w:hAnsi="Palatino Linotype" w:cs="Arial"/>
          <w:sz w:val="18"/>
          <w:szCs w:val="18"/>
        </w:rPr>
        <w:t xml:space="preserve">octubre </w:t>
      </w:r>
      <w:r w:rsidRPr="00681CB2">
        <w:rPr>
          <w:rFonts w:ascii="Palatino Linotype" w:hAnsi="Palatino Linotype" w:cs="Arial"/>
          <w:sz w:val="18"/>
          <w:szCs w:val="18"/>
        </w:rPr>
        <w:t xml:space="preserve">de dos mil dieciocho, emitida en el recurso de revisión </w:t>
      </w:r>
      <w:r w:rsidR="00574665" w:rsidRPr="00681CB2">
        <w:rPr>
          <w:rFonts w:ascii="Palatino Linotype" w:hAnsi="Palatino Linotype" w:cs="Arial"/>
          <w:b/>
          <w:bCs/>
          <w:sz w:val="18"/>
          <w:szCs w:val="18"/>
        </w:rPr>
        <w:t>0</w:t>
      </w:r>
      <w:r w:rsidR="005E7A7B" w:rsidRPr="00681CB2">
        <w:rPr>
          <w:rFonts w:ascii="Palatino Linotype" w:hAnsi="Palatino Linotype" w:cs="Arial"/>
          <w:b/>
          <w:bCs/>
          <w:sz w:val="18"/>
          <w:szCs w:val="18"/>
        </w:rPr>
        <w:t>3316</w:t>
      </w:r>
      <w:r w:rsidRPr="00681CB2">
        <w:rPr>
          <w:rFonts w:ascii="Palatino Linotype" w:hAnsi="Palatino Linotype" w:cs="Arial"/>
          <w:b/>
          <w:bCs/>
          <w:sz w:val="18"/>
          <w:szCs w:val="18"/>
        </w:rPr>
        <w:t>/INFOEM/IP/RR/2018</w:t>
      </w:r>
      <w:r w:rsidRPr="00681CB2">
        <w:rPr>
          <w:rFonts w:ascii="Palatino Linotype" w:hAnsi="Palatino Linotype" w:cs="Arial"/>
          <w:sz w:val="18"/>
          <w:szCs w:val="18"/>
        </w:rPr>
        <w:t>.</w:t>
      </w:r>
    </w:p>
    <w:sectPr w:rsidR="008B6033" w:rsidRPr="00811E9F" w:rsidSect="00C6071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D76A0" w14:textId="77777777" w:rsidR="00D97E3F" w:rsidRDefault="00D97E3F" w:rsidP="00C80F8C">
      <w:r>
        <w:separator/>
      </w:r>
    </w:p>
  </w:endnote>
  <w:endnote w:type="continuationSeparator" w:id="0">
    <w:p w14:paraId="67004E06" w14:textId="77777777" w:rsidR="00D97E3F" w:rsidRDefault="00D97E3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C86EB3" w:rsidRDefault="00C86EB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0133A">
      <w:rPr>
        <w:rFonts w:ascii="Arial" w:hAnsi="Arial" w:cs="Arial"/>
        <w:b/>
        <w:bCs/>
        <w:noProof/>
        <w:sz w:val="20"/>
        <w:szCs w:val="20"/>
      </w:rPr>
      <w:t>52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0133A">
      <w:rPr>
        <w:rFonts w:ascii="Arial" w:hAnsi="Arial" w:cs="Arial"/>
        <w:b/>
        <w:bCs/>
        <w:noProof/>
        <w:sz w:val="20"/>
        <w:szCs w:val="20"/>
      </w:rPr>
      <w:t>52</w:t>
    </w:r>
    <w:r>
      <w:rPr>
        <w:rFonts w:ascii="Arial" w:hAnsi="Arial" w:cs="Arial"/>
        <w:b/>
        <w:bCs/>
        <w:sz w:val="20"/>
        <w:szCs w:val="20"/>
      </w:rPr>
      <w:fldChar w:fldCharType="end"/>
    </w:r>
  </w:p>
  <w:p w14:paraId="1192A578" w14:textId="77777777" w:rsidR="00C86EB3" w:rsidRDefault="00C86EB3" w:rsidP="00935A0D">
    <w:pPr>
      <w:pStyle w:val="Piedepgina"/>
      <w:rPr>
        <w:rFonts w:ascii="Times New Roman" w:hAnsi="Times New Roman" w:cs="Times New Roman"/>
      </w:rPr>
    </w:pPr>
  </w:p>
  <w:p w14:paraId="14A770F8" w14:textId="77777777" w:rsidR="00C86EB3" w:rsidRDefault="00C86EB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C86EB3" w:rsidRDefault="00C86EB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0133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0133A">
      <w:rPr>
        <w:rFonts w:ascii="Arial" w:hAnsi="Arial" w:cs="Arial"/>
        <w:b/>
        <w:bCs/>
        <w:noProof/>
        <w:sz w:val="20"/>
        <w:szCs w:val="20"/>
      </w:rPr>
      <w:t>52</w:t>
    </w:r>
    <w:r>
      <w:rPr>
        <w:rFonts w:ascii="Arial" w:hAnsi="Arial" w:cs="Arial"/>
        <w:b/>
        <w:bCs/>
        <w:sz w:val="20"/>
        <w:szCs w:val="20"/>
      </w:rPr>
      <w:fldChar w:fldCharType="end"/>
    </w:r>
  </w:p>
  <w:p w14:paraId="5D98ABD5" w14:textId="77777777" w:rsidR="00C86EB3" w:rsidRDefault="00C86E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A82FC" w14:textId="77777777" w:rsidR="00D97E3F" w:rsidRDefault="00D97E3F" w:rsidP="00C80F8C">
      <w:r>
        <w:separator/>
      </w:r>
    </w:p>
  </w:footnote>
  <w:footnote w:type="continuationSeparator" w:id="0">
    <w:p w14:paraId="5C88EE64" w14:textId="77777777" w:rsidR="00D97E3F" w:rsidRDefault="00D97E3F" w:rsidP="00C80F8C">
      <w:r>
        <w:continuationSeparator/>
      </w:r>
    </w:p>
  </w:footnote>
  <w:footnote w:id="1">
    <w:p w14:paraId="29C4BB4E" w14:textId="77777777" w:rsidR="00C86EB3" w:rsidRPr="00290B7F" w:rsidRDefault="00C86EB3" w:rsidP="009562D6">
      <w:pPr>
        <w:pStyle w:val="Textonotapie"/>
        <w:jc w:val="both"/>
        <w:rPr>
          <w:rFonts w:ascii="Palatino Linotype" w:hAnsi="Palatino Linotype"/>
          <w:sz w:val="16"/>
          <w:szCs w:val="16"/>
        </w:rPr>
      </w:pPr>
      <w:r>
        <w:rPr>
          <w:rStyle w:val="Refdenotaalpie"/>
        </w:rPr>
        <w:footnoteRef/>
      </w:r>
      <w:r>
        <w:t xml:space="preserve"> </w:t>
      </w:r>
      <w:r w:rsidRPr="00290B7F">
        <w:rPr>
          <w:rFonts w:ascii="Palatino Linotype" w:hAnsi="Palatino Linotype"/>
          <w:sz w:val="16"/>
          <w:szCs w:val="16"/>
          <w:shd w:val="clear" w:color="auto" w:fill="FFFFFF"/>
        </w:rPr>
        <w:t>Jurisprudencia publicada en el Semanario Judicial de la Federación número 2a./J.120/2015, de la Décima Época, Tomo I, Libro 22, Septiembre 2015, cuyo texto es el siguiente: “La regulación establecida en el artículo</w:t>
      </w:r>
      <w:r w:rsidRPr="00290B7F">
        <w:rPr>
          <w:rStyle w:val="m2871584667633129156gmail-apple-converted-space"/>
          <w:rFonts w:ascii="Palatino Linotype" w:hAnsi="Palatino Linotype"/>
          <w:sz w:val="16"/>
          <w:szCs w:val="16"/>
          <w:shd w:val="clear" w:color="auto" w:fill="FFFFFF"/>
        </w:rPr>
        <w:t> </w:t>
      </w:r>
      <w:r w:rsidRPr="00290B7F">
        <w:rPr>
          <w:rFonts w:ascii="Palatino Linotype" w:hAnsi="Palatino Linotype"/>
          <w:sz w:val="16"/>
          <w:szCs w:val="16"/>
        </w:rPr>
        <w:t>79, fracción VI, de la Ley de Amparo</w:t>
      </w:r>
      <w:r w:rsidRPr="00290B7F">
        <w:rPr>
          <w:rStyle w:val="m2871584667633129156gmail-apple-converted-space"/>
          <w:rFonts w:ascii="Palatino Linotype" w:hAnsi="Palatino Linotype"/>
          <w:sz w:val="16"/>
          <w:szCs w:val="16"/>
          <w:shd w:val="clear" w:color="auto" w:fill="FFFFFF"/>
        </w:rPr>
        <w:t> </w:t>
      </w:r>
      <w:r w:rsidRPr="00290B7F">
        <w:rPr>
          <w:rFonts w:ascii="Palatino Linotype" w:hAnsi="Palatino Linotype"/>
          <w:sz w:val="16"/>
          <w:szCs w:val="16"/>
          <w:shd w:val="clear" w:color="auto" w:fill="FFFFFF"/>
        </w:rPr>
        <w:t>faculta al juzgador de amparo para suplir la deficiencia de la queja en materias diversas a las que el propio numeral prevé, ante una irregularidad procesal grave y manifiesta en la controversia del amparo, no resuelta en el procedimiento de origen, que afecte al quejoso o recurrente, aun ante la ausencia de concepto de violación o agravio al respecto, ya que revela la intención del legislador de no permitir que una de las partes se beneficie a costa de la indefensión de su contraria, como consecuencia de una actuación ilegal de la autoridad, permitiendo al Juez ejercer un discernimiento en cada caso concreto, en atención a la materia y sujeto de que se trate, lo cual es congruente con el artículo</w:t>
      </w:r>
      <w:r w:rsidRPr="00290B7F">
        <w:rPr>
          <w:rStyle w:val="m2871584667633129156gmail-apple-converted-space"/>
          <w:rFonts w:ascii="Palatino Linotype" w:hAnsi="Palatino Linotype"/>
          <w:sz w:val="16"/>
          <w:szCs w:val="16"/>
          <w:shd w:val="clear" w:color="auto" w:fill="FFFFFF"/>
        </w:rPr>
        <w:t> </w:t>
      </w:r>
      <w:r w:rsidRPr="00290B7F">
        <w:rPr>
          <w:rFonts w:ascii="Palatino Linotype" w:hAnsi="Palatino Linotype"/>
          <w:sz w:val="16"/>
          <w:szCs w:val="16"/>
        </w:rPr>
        <w:t>107, fracción II, antepenúltimo párrafo, de la Constitución Política de los Estados Unidos Mexicanos</w:t>
      </w:r>
      <w:r w:rsidRPr="00290B7F">
        <w:rPr>
          <w:rFonts w:ascii="Palatino Linotype" w:hAnsi="Palatino Linotype"/>
          <w:sz w:val="16"/>
          <w:szCs w:val="16"/>
          <w:shd w:val="clear" w:color="auto" w:fill="FFFFFF"/>
        </w:rPr>
        <w:t>.”</w:t>
      </w:r>
    </w:p>
  </w:footnote>
  <w:footnote w:id="2">
    <w:p w14:paraId="7B525EB9" w14:textId="77777777" w:rsidR="00C86EB3" w:rsidRPr="00290B7F" w:rsidRDefault="00C86EB3" w:rsidP="009562D6">
      <w:pPr>
        <w:pStyle w:val="Textonotapie"/>
        <w:jc w:val="both"/>
        <w:rPr>
          <w:rFonts w:ascii="Palatino Linotype" w:hAnsi="Palatino Linotype"/>
          <w:sz w:val="16"/>
          <w:szCs w:val="16"/>
        </w:rPr>
      </w:pPr>
      <w:r w:rsidRPr="00290B7F">
        <w:rPr>
          <w:rStyle w:val="Refdenotaalpie"/>
          <w:rFonts w:ascii="Palatino Linotype" w:hAnsi="Palatino Linotype"/>
          <w:sz w:val="16"/>
          <w:szCs w:val="16"/>
        </w:rPr>
        <w:footnoteRef/>
      </w:r>
      <w:r w:rsidRPr="00290B7F">
        <w:rPr>
          <w:rFonts w:ascii="Palatino Linotype" w:hAnsi="Palatino Linotype"/>
          <w:sz w:val="16"/>
          <w:szCs w:val="16"/>
        </w:rPr>
        <w:t xml:space="preserve"> </w:t>
      </w:r>
      <w:r w:rsidRPr="00290B7F">
        <w:rPr>
          <w:rFonts w:ascii="Palatino Linotype" w:hAnsi="Palatino Linotype"/>
          <w:sz w:val="16"/>
          <w:szCs w:val="16"/>
          <w:shd w:val="clear" w:color="auto" w:fill="FFFFFF"/>
          <w:lang w:val="es-ES"/>
        </w:rPr>
        <w:t>Tesis aislada publicada en el Semanario Judicial de la Federación número 1a. LXXIII/2015, de la Décima Época, Tomo II, Libro 15, Febrero 2015, cuyo texto es el siguiente: “Del precepto citado deriva que la suplencia</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de la queja deficiente operará en las materias civil y administrativa cuando el tribunal de amparo advierta que ha habido contra el quejoso o recurrente una violación evidente de la ley que lo haya dejado sin defensa, por afectar sus derechos humanos reconocidos en la Constitución Política de los Estados Unidos Mexicanos y en los tratados internacionales de que el Estado Mexicano sea parte. Ahora bien, el Pleno de la Suprema Corte de Justicia de la Nación, al pronunciarse sobre el artículo</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76 Bis de la Ley de Amparo</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abrogada, de redacción similar al</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79</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de la vigente, estimó que la frase "lo haya dejado sin defensa" no debe interpretarse literalmente, sino que debe entenderse en el sentido de que la autoridad responsable infringió determinadas normas, de forma que afectó sustancialmente al quejoso en su defensa. Asimismo, sostuvo que una "violación manifiesta de la ley" es la que se advierte obvia, que es innegable e indiscutible, y cuya existencia no puede derivarse de una serie de razonamientos y planteamientos cuestionables. Por otra parte, esta Primera Sala sostuvo que por "violación manifiesta de la ley que deje sin defensa", se entiende aquella actuación que haga notoria e indiscutible la vulneración a los derechos del quejoso, ya sea en forma directa, o bien, indirecta, mediante la transgresión a las normas procedimentales y sustantivas, y que rigen el acto reclamado; de ahí que dicha interpretación es aplicable al artículo</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79</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de la Ley de Amparo, ya que no se le opone, sino que es concordante. Conforme a lo anterior, los tribunales de amparo sólo están obligados a suplir la queja deficiente en las materias civil y administrativa cuando adviertan una violación evidente, esto es, clara, innegable, que afecte sustancialmente al quejoso en su defensa.”</w:t>
      </w:r>
    </w:p>
  </w:footnote>
  <w:footnote w:id="3">
    <w:p w14:paraId="214D40A6" w14:textId="5CF0FD20" w:rsidR="00C86EB3" w:rsidRDefault="00C86EB3">
      <w:pPr>
        <w:pStyle w:val="Textonotapie"/>
      </w:pPr>
      <w:r>
        <w:rPr>
          <w:rStyle w:val="Refdenotaalpie"/>
        </w:rPr>
        <w:footnoteRef/>
      </w:r>
      <w:r>
        <w:t xml:space="preserve"> </w:t>
      </w:r>
      <w:r w:rsidRPr="00167E63">
        <w:rPr>
          <w:rFonts w:ascii="Palatino Linotype" w:hAnsi="Palatino Linotype"/>
        </w:rPr>
        <w:t>Artículo 3 del Reglamento Interior del Organismo Público Descentralizado para la Prestación de los Servicios de Agua Potable, Alcantarillado y Saneamiento del Municipio de Tlalnepantla.</w:t>
      </w:r>
    </w:p>
  </w:footnote>
  <w:footnote w:id="4">
    <w:p w14:paraId="022C2F52" w14:textId="3A03EBDF" w:rsidR="00C86EB3" w:rsidRPr="001D4F38" w:rsidRDefault="00C86EB3">
      <w:pPr>
        <w:pStyle w:val="Textonotapie"/>
        <w:rPr>
          <w:rFonts w:ascii="Palatino Linotype" w:hAnsi="Palatino Linotype"/>
        </w:rPr>
      </w:pPr>
      <w:r w:rsidRPr="001D4F38">
        <w:rPr>
          <w:rStyle w:val="Refdenotaalpie"/>
          <w:rFonts w:ascii="Palatino Linotype" w:hAnsi="Palatino Linotype"/>
        </w:rPr>
        <w:footnoteRef/>
      </w:r>
      <w:r w:rsidRPr="001D4F38">
        <w:rPr>
          <w:rFonts w:ascii="Palatino Linotype" w:hAnsi="Palatino Linotype"/>
        </w:rPr>
        <w:t xml:space="preserve"> Artículo 36, ibídem.</w:t>
      </w:r>
    </w:p>
  </w:footnote>
  <w:footnote w:id="5">
    <w:p w14:paraId="19973D67" w14:textId="77777777" w:rsidR="00C86EB3" w:rsidRPr="009E48F3" w:rsidRDefault="00C86EB3" w:rsidP="0035052A">
      <w:pPr>
        <w:pStyle w:val="Textonotapie"/>
        <w:rPr>
          <w:rFonts w:ascii="Palatino Linotype" w:hAnsi="Palatino Linotype"/>
          <w:sz w:val="16"/>
          <w:szCs w:val="16"/>
        </w:rPr>
      </w:pPr>
      <w:r>
        <w:rPr>
          <w:rStyle w:val="Refdenotaalpie"/>
        </w:rPr>
        <w:footnoteRef/>
      </w:r>
      <w:r>
        <w:t xml:space="preserve"> “</w:t>
      </w:r>
      <w:r w:rsidRPr="009E48F3">
        <w:rPr>
          <w:rFonts w:ascii="Palatino Linotype" w:hAnsi="Palatino Linotype"/>
          <w:b/>
          <w:sz w:val="16"/>
          <w:szCs w:val="16"/>
        </w:rPr>
        <w:t>Artículo 1.-</w:t>
      </w:r>
      <w:r w:rsidRPr="009E48F3">
        <w:rPr>
          <w:rFonts w:ascii="Palatino Linotype" w:hAnsi="Palatino Linotype"/>
          <w:sz w:val="16"/>
          <w:szCs w:val="16"/>
        </w:rPr>
        <w:t xml:space="preserve"> Esta Ley tiene por objeto regular los actos relativos a la planeación, programación, </w:t>
      </w:r>
      <w:proofErr w:type="spellStart"/>
      <w:r w:rsidRPr="009E48F3">
        <w:rPr>
          <w:rFonts w:ascii="Palatino Linotype" w:hAnsi="Palatino Linotype"/>
          <w:sz w:val="16"/>
          <w:szCs w:val="16"/>
        </w:rPr>
        <w:t>presupuestación</w:t>
      </w:r>
      <w:proofErr w:type="spellEnd"/>
      <w:r w:rsidRPr="009E48F3">
        <w:rPr>
          <w:rFonts w:ascii="Palatino Linotype" w:hAnsi="Palatino Linotype"/>
          <w:sz w:val="16"/>
          <w:szCs w:val="16"/>
        </w:rPr>
        <w:t xml:space="preserve">, ejecución y control de la adquisición, enajenación y arrendamiento de bienes, y la contratación de servicios de cualquier naturaleza, que realicen: </w:t>
      </w:r>
    </w:p>
    <w:p w14:paraId="5A1B47B2" w14:textId="77777777" w:rsidR="00C86EB3" w:rsidRPr="009E48F3" w:rsidRDefault="00C86EB3" w:rsidP="0035052A">
      <w:pPr>
        <w:pStyle w:val="Textonotapie"/>
        <w:numPr>
          <w:ilvl w:val="0"/>
          <w:numId w:val="31"/>
        </w:numPr>
        <w:rPr>
          <w:rFonts w:ascii="Palatino Linotype" w:hAnsi="Palatino Linotype"/>
          <w:sz w:val="16"/>
          <w:szCs w:val="16"/>
        </w:rPr>
      </w:pPr>
      <w:r w:rsidRPr="009E48F3">
        <w:rPr>
          <w:rFonts w:ascii="Palatino Linotype" w:hAnsi="Palatino Linotype"/>
          <w:sz w:val="16"/>
          <w:szCs w:val="16"/>
        </w:rPr>
        <w:t xml:space="preserve">Las secretarías y las unidades administrativas del Poder Ejecutivo del Estado. </w:t>
      </w:r>
    </w:p>
    <w:p w14:paraId="639A691B" w14:textId="77777777" w:rsidR="00C86EB3" w:rsidRPr="009E48F3" w:rsidRDefault="00C86EB3" w:rsidP="0035052A">
      <w:pPr>
        <w:pStyle w:val="Textonotapie"/>
        <w:numPr>
          <w:ilvl w:val="0"/>
          <w:numId w:val="31"/>
        </w:numPr>
        <w:rPr>
          <w:rFonts w:ascii="Palatino Linotype" w:hAnsi="Palatino Linotype"/>
          <w:sz w:val="16"/>
          <w:szCs w:val="16"/>
        </w:rPr>
      </w:pPr>
      <w:r w:rsidRPr="009E48F3">
        <w:rPr>
          <w:rFonts w:ascii="Palatino Linotype" w:hAnsi="Palatino Linotype"/>
          <w:sz w:val="16"/>
          <w:szCs w:val="16"/>
        </w:rPr>
        <w:t xml:space="preserve">La Procuraduría General de Justicia. </w:t>
      </w:r>
    </w:p>
    <w:p w14:paraId="35BF0ACC" w14:textId="77777777" w:rsidR="00C86EB3" w:rsidRPr="009E48F3" w:rsidRDefault="00C86EB3" w:rsidP="0035052A">
      <w:pPr>
        <w:pStyle w:val="Textonotapie"/>
        <w:numPr>
          <w:ilvl w:val="0"/>
          <w:numId w:val="31"/>
        </w:numPr>
        <w:rPr>
          <w:rFonts w:ascii="Palatino Linotype" w:hAnsi="Palatino Linotype"/>
          <w:sz w:val="16"/>
          <w:szCs w:val="16"/>
        </w:rPr>
      </w:pPr>
      <w:r w:rsidRPr="009E48F3">
        <w:rPr>
          <w:rFonts w:ascii="Palatino Linotype" w:hAnsi="Palatino Linotype"/>
          <w:sz w:val="16"/>
          <w:szCs w:val="16"/>
        </w:rPr>
        <w:t xml:space="preserve">Los ayuntamientos de los municipios del Estado. </w:t>
      </w:r>
    </w:p>
    <w:p w14:paraId="7D0E13B7" w14:textId="77777777" w:rsidR="00C86EB3" w:rsidRPr="009E48F3" w:rsidRDefault="00C86EB3" w:rsidP="0035052A">
      <w:pPr>
        <w:pStyle w:val="Textonotapie"/>
        <w:numPr>
          <w:ilvl w:val="0"/>
          <w:numId w:val="31"/>
        </w:numPr>
        <w:rPr>
          <w:rFonts w:ascii="Palatino Linotype" w:hAnsi="Palatino Linotype"/>
          <w:sz w:val="16"/>
          <w:szCs w:val="16"/>
        </w:rPr>
      </w:pPr>
      <w:r w:rsidRPr="009E48F3">
        <w:rPr>
          <w:rFonts w:ascii="Palatino Linotype" w:hAnsi="Palatino Linotype"/>
          <w:sz w:val="16"/>
          <w:szCs w:val="16"/>
        </w:rPr>
        <w:t xml:space="preserve">Los organismos auxiliares y fideicomisos públicos, de carácter estatal o municipal. </w:t>
      </w:r>
    </w:p>
    <w:p w14:paraId="20174AFE" w14:textId="77777777" w:rsidR="00C86EB3" w:rsidRPr="009E48F3" w:rsidRDefault="00C86EB3" w:rsidP="0035052A">
      <w:pPr>
        <w:pStyle w:val="Textonotapie"/>
        <w:numPr>
          <w:ilvl w:val="0"/>
          <w:numId w:val="31"/>
        </w:numPr>
        <w:rPr>
          <w:rFonts w:ascii="Palatino Linotype" w:hAnsi="Palatino Linotype"/>
          <w:sz w:val="16"/>
          <w:szCs w:val="16"/>
        </w:rPr>
      </w:pPr>
      <w:r w:rsidRPr="009E48F3">
        <w:rPr>
          <w:rFonts w:ascii="Palatino Linotype" w:hAnsi="Palatino Linotype"/>
          <w:sz w:val="16"/>
          <w:szCs w:val="16"/>
        </w:rPr>
        <w:t>Los tribunales administrativos.</w:t>
      </w:r>
    </w:p>
    <w:p w14:paraId="38A4C153" w14:textId="77777777" w:rsidR="00C86EB3" w:rsidRDefault="00C86EB3" w:rsidP="0035052A">
      <w:pPr>
        <w:pStyle w:val="Textonotapie"/>
        <w:ind w:left="360"/>
        <w:rPr>
          <w:rFonts w:ascii="Palatino Linotype" w:hAnsi="Palatino Linotype"/>
          <w:sz w:val="16"/>
          <w:szCs w:val="16"/>
        </w:rPr>
      </w:pPr>
      <w:r w:rsidRPr="009E48F3">
        <w:rPr>
          <w:rFonts w:ascii="Palatino Linotype" w:hAnsi="Palatino Linotype"/>
          <w:sz w:val="16"/>
          <w:szCs w:val="16"/>
        </w:rPr>
        <w:t>Los actos a los que se refiere este artículo que se realicen con cargo total o parcial a fondos del Gobierno del Estado de México, se estarán a lo dispuesto por esta Ley. Los actos a que se refiere este artículo que se realicen con cargo total o parcial a fondos del Gobierno Federal, estarán a lo dispuesto por la legislación federal.</w:t>
      </w:r>
    </w:p>
    <w:p w14:paraId="239958D5" w14:textId="77777777" w:rsidR="00C86EB3" w:rsidRPr="009E48F3" w:rsidRDefault="00C86EB3" w:rsidP="0035052A">
      <w:pPr>
        <w:pStyle w:val="Textonotapie"/>
        <w:ind w:left="360"/>
        <w:rPr>
          <w:rFonts w:ascii="Palatino Linotype" w:hAnsi="Palatino Linotype"/>
          <w:sz w:val="16"/>
          <w:szCs w:val="16"/>
        </w:rPr>
      </w:pPr>
      <w:r>
        <w:rPr>
          <w:rFonts w:ascii="Palatino Linotype" w:hAnsi="Palatino Linotype"/>
          <w:sz w:val="16"/>
          <w:szCs w:val="16"/>
        </w:rPr>
        <w:t>…”</w:t>
      </w:r>
    </w:p>
  </w:footnote>
  <w:footnote w:id="6">
    <w:p w14:paraId="1DEF214A" w14:textId="77777777" w:rsidR="000B65CF" w:rsidRDefault="000B65CF" w:rsidP="000B65CF">
      <w:pPr>
        <w:pStyle w:val="Textonotapie"/>
      </w:pPr>
      <w:r>
        <w:rPr>
          <w:rStyle w:val="Refdenotaalpie"/>
        </w:rPr>
        <w:footnoteRef/>
      </w:r>
      <w:r>
        <w:t xml:space="preserve"> </w:t>
      </w:r>
      <w:r w:rsidRPr="004274E7">
        <w:rPr>
          <w:rFonts w:ascii="Palatino Linotype" w:hAnsi="Palatino Linotype"/>
          <w:sz w:val="18"/>
          <w:szCs w:val="18"/>
        </w:rPr>
        <w:t>Ver artículo 4, fracciones V, VI y VII de los Lineamientos.</w:t>
      </w:r>
    </w:p>
  </w:footnote>
  <w:footnote w:id="7">
    <w:p w14:paraId="79DCDBA9" w14:textId="77777777" w:rsidR="000B65CF" w:rsidRDefault="000B65CF" w:rsidP="000B65CF">
      <w:pPr>
        <w:pStyle w:val="Textonotapie"/>
        <w:jc w:val="both"/>
      </w:pPr>
      <w:r>
        <w:rPr>
          <w:rStyle w:val="Refdenotaalpie"/>
        </w:rPr>
        <w:footnoteRef/>
      </w:r>
      <w:r>
        <w:t xml:space="preserve"> </w:t>
      </w:r>
      <w:r w:rsidRPr="00095548">
        <w:rPr>
          <w:sz w:val="22"/>
          <w:szCs w:val="22"/>
        </w:rPr>
        <w:t>“</w:t>
      </w:r>
      <w:r w:rsidRPr="004274E7">
        <w:rPr>
          <w:rFonts w:ascii="Palatino Linotype" w:hAnsi="Palatino Linotype"/>
          <w:sz w:val="18"/>
          <w:szCs w:val="18"/>
        </w:rPr>
        <w:t>Artículo 20.- Los expedientes de trámite concluido y los desclasificados se mantendrán íntegros por un período de dos años en los Archivos de Trámite de las Unidades Administrativas. Cumplido este plazo se podrá proceder a su selección preliminar y transferencia al Archivo de Concentración.”</w:t>
      </w:r>
    </w:p>
  </w:footnote>
  <w:footnote w:id="8">
    <w:p w14:paraId="28E3E30C" w14:textId="77777777" w:rsidR="000B65CF" w:rsidRPr="004274E7" w:rsidRDefault="000B65CF" w:rsidP="000B65CF">
      <w:pPr>
        <w:pStyle w:val="Textonotapie"/>
        <w:jc w:val="both"/>
        <w:rPr>
          <w:rFonts w:ascii="Palatino Linotype" w:hAnsi="Palatino Linotype"/>
          <w:sz w:val="18"/>
          <w:szCs w:val="18"/>
        </w:rPr>
      </w:pPr>
      <w:r>
        <w:rPr>
          <w:rStyle w:val="Refdenotaalpie"/>
        </w:rPr>
        <w:footnoteRef/>
      </w:r>
      <w:r>
        <w:t xml:space="preserve"> </w:t>
      </w:r>
      <w:r w:rsidRPr="004274E7">
        <w:rPr>
          <w:rFonts w:ascii="Palatino Linotype" w:hAnsi="Palatino Linotype"/>
          <w:sz w:val="18"/>
          <w:szCs w:val="18"/>
        </w:rPr>
        <w:t xml:space="preserve">“Artículo 7. Es obligación de los servidores públicos custodiar y facilitar el acceso a los documentos que se encuentren bajo su resguardo en razón de sus atribuciones y de conformidad con la Ley de Transparencia, la Ley de Documentos y los presentes Lineamientos.” </w:t>
      </w:r>
    </w:p>
    <w:p w14:paraId="498A188D" w14:textId="77777777" w:rsidR="000B65CF" w:rsidRPr="004274E7" w:rsidRDefault="000B65CF" w:rsidP="000B65CF">
      <w:pPr>
        <w:pStyle w:val="Textonotapie"/>
        <w:jc w:val="both"/>
        <w:rPr>
          <w:sz w:val="18"/>
          <w:szCs w:val="18"/>
        </w:rPr>
      </w:pPr>
      <w:r w:rsidRPr="004274E7">
        <w:rPr>
          <w:rFonts w:ascii="Palatino Linotype" w:hAnsi="Palatino Linotype"/>
          <w:sz w:val="18"/>
          <w:szCs w:val="18"/>
        </w:rPr>
        <w:t xml:space="preserve">“Artículo 70. Las Unidades Administrativas que transfieran sus documentos y expedientes de trámite concluido a un Archivo de Concentración, seguirán manteniendo la responsabilidad de proporcionar la información contenida en ellos cuando le sea requerida en términos de los ordenamientos vigentes, hasta el momento en que prescriban sus valores administrativos y concluya su conservación </w:t>
      </w:r>
      <w:proofErr w:type="spellStart"/>
      <w:r w:rsidRPr="004274E7">
        <w:rPr>
          <w:rFonts w:ascii="Palatino Linotype" w:hAnsi="Palatino Linotype"/>
          <w:sz w:val="18"/>
          <w:szCs w:val="18"/>
        </w:rPr>
        <w:t>precaucional</w:t>
      </w:r>
      <w:proofErr w:type="spellEnd"/>
      <w:r w:rsidRPr="004274E7">
        <w:rPr>
          <w:rFonts w:ascii="Palatino Linotype" w:hAnsi="Palatino Linotype"/>
          <w:sz w:val="18"/>
          <w:szCs w:val="18"/>
        </w:rPr>
        <w:t xml:space="preserve"> y adquieran el carácter de históricos, o hasta cuando proceda su eliminación de conformidad con la normatividad emitida por la Comisión.”</w:t>
      </w:r>
    </w:p>
  </w:footnote>
  <w:footnote w:id="9">
    <w:p w14:paraId="0417668E" w14:textId="77777777" w:rsidR="00984082" w:rsidRPr="00A61366" w:rsidRDefault="00984082" w:rsidP="00984082">
      <w:pPr>
        <w:pStyle w:val="Textonotapie"/>
        <w:rPr>
          <w:rFonts w:ascii="Palatino Linotype" w:hAnsi="Palatino Linotype"/>
        </w:rPr>
      </w:pPr>
      <w:r>
        <w:rPr>
          <w:rStyle w:val="Refdenotaalpie"/>
        </w:rPr>
        <w:footnoteRef/>
      </w:r>
      <w:r>
        <w:t xml:space="preserve"> </w:t>
      </w:r>
      <w:r w:rsidRPr="00A61366">
        <w:rPr>
          <w:rFonts w:ascii="Palatino Linotype" w:hAnsi="Palatino Linotype"/>
        </w:rPr>
        <w:t xml:space="preserve">Artículo 162 de la </w:t>
      </w:r>
      <w:r w:rsidRPr="00A61366">
        <w:rPr>
          <w:rFonts w:ascii="Palatino Linotype" w:hAnsi="Palatino Linotype" w:cs="Arial"/>
        </w:rPr>
        <w:t>Ley de Transparencia y Acceso a la Información Pública del Estado de México y Municipios.</w:t>
      </w:r>
    </w:p>
  </w:footnote>
  <w:footnote w:id="10">
    <w:p w14:paraId="76A85736" w14:textId="7033C193" w:rsidR="00EA0A5C" w:rsidRDefault="00EA0A5C">
      <w:pPr>
        <w:pStyle w:val="Textonotapie"/>
      </w:pPr>
      <w:r>
        <w:rPr>
          <w:rStyle w:val="Refdenotaalpie"/>
        </w:rPr>
        <w:footnoteRef/>
      </w:r>
      <w:r>
        <w:t xml:space="preserve"> </w:t>
      </w:r>
      <w:r w:rsidRPr="00EA0A5C">
        <w:rPr>
          <w:rFonts w:ascii="Palatino Linotype" w:hAnsi="Palatino Linotype"/>
        </w:rPr>
        <w:t>Artículo 35 de la Ley de Contratación Pública.</w:t>
      </w:r>
    </w:p>
  </w:footnote>
  <w:footnote w:id="11">
    <w:p w14:paraId="711FD577" w14:textId="5D022344" w:rsidR="006D6DC4" w:rsidRDefault="006D6DC4">
      <w:pPr>
        <w:pStyle w:val="Textonotapie"/>
      </w:pPr>
      <w:r>
        <w:rPr>
          <w:rStyle w:val="Refdenotaalpie"/>
        </w:rPr>
        <w:footnoteRef/>
      </w:r>
      <w:r>
        <w:t xml:space="preserve"> </w:t>
      </w:r>
      <w:r w:rsidRPr="00CD0248">
        <w:rPr>
          <w:rFonts w:ascii="Palatino Linotype" w:hAnsi="Palatino Linotype"/>
        </w:rPr>
        <w:t>Artículo 44,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C86EB3" w14:paraId="6B4E3B81" w14:textId="77777777" w:rsidTr="007E2BE8">
      <w:tc>
        <w:tcPr>
          <w:tcW w:w="2552" w:type="dxa"/>
          <w:vAlign w:val="center"/>
          <w:hideMark/>
        </w:tcPr>
        <w:p w14:paraId="0ABBC6C0" w14:textId="77777777" w:rsidR="00C86EB3" w:rsidRDefault="00C86EB3" w:rsidP="0027449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6426F92F" w:rsidR="00C86EB3" w:rsidRDefault="00C86EB3" w:rsidP="00725680">
          <w:pPr>
            <w:jc w:val="both"/>
            <w:rPr>
              <w:rFonts w:ascii="Palatino Linotype" w:hAnsi="Palatino Linotype"/>
              <w:b/>
              <w:sz w:val="22"/>
              <w:szCs w:val="22"/>
              <w:lang w:val="es-ES_tradnl"/>
            </w:rPr>
          </w:pPr>
          <w:r>
            <w:rPr>
              <w:rFonts w:ascii="Palatino Linotype" w:hAnsi="Palatino Linotype"/>
              <w:b/>
              <w:sz w:val="22"/>
              <w:szCs w:val="22"/>
              <w:lang w:val="es-ES_tradnl"/>
            </w:rPr>
            <w:t>03316/INFOEM/IP/RR/2018</w:t>
          </w:r>
        </w:p>
      </w:tc>
    </w:tr>
    <w:tr w:rsidR="00C86EB3" w14:paraId="31CB780F" w14:textId="77777777" w:rsidTr="007E2BE8">
      <w:trPr>
        <w:trHeight w:val="228"/>
      </w:trPr>
      <w:tc>
        <w:tcPr>
          <w:tcW w:w="2552" w:type="dxa"/>
          <w:vAlign w:val="center"/>
          <w:hideMark/>
        </w:tcPr>
        <w:p w14:paraId="4F49CB4A" w14:textId="77777777" w:rsidR="00C86EB3" w:rsidRDefault="00C86EB3" w:rsidP="00725680">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2CB6BBE4" w:rsidR="00C86EB3" w:rsidRDefault="00C86EB3" w:rsidP="00725680">
          <w:pPr>
            <w:jc w:val="both"/>
            <w:rPr>
              <w:rFonts w:ascii="Palatino Linotype" w:hAnsi="Palatino Linotype"/>
              <w:b/>
              <w:sz w:val="22"/>
              <w:szCs w:val="22"/>
              <w:lang w:val="es-ES_tradnl"/>
            </w:rPr>
          </w:pPr>
          <w:r>
            <w:rPr>
              <w:rFonts w:ascii="Palatino Linotype" w:hAnsi="Palatino Linotype"/>
              <w:b/>
              <w:sz w:val="22"/>
              <w:szCs w:val="22"/>
              <w:lang w:val="es-ES_tradnl"/>
            </w:rPr>
            <w:t xml:space="preserve">Organismo Público Descentralizado para la Prestación de Los Servicios de Agua Potable Alcantarillado y Saneamiento del Municipio de Tlalnepantla de Baz </w:t>
          </w:r>
        </w:p>
      </w:tc>
    </w:tr>
    <w:tr w:rsidR="00C86EB3" w14:paraId="69050F56" w14:textId="77777777" w:rsidTr="007E2BE8">
      <w:tc>
        <w:tcPr>
          <w:tcW w:w="2552" w:type="dxa"/>
          <w:vAlign w:val="center"/>
          <w:hideMark/>
        </w:tcPr>
        <w:p w14:paraId="65C9B735" w14:textId="3CB772C2" w:rsidR="00C86EB3" w:rsidRDefault="00C86EB3"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1CAEFF5" w:rsidR="00C86EB3" w:rsidRDefault="00C86EB3"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C86EB3" w:rsidRDefault="00C86EB3"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C86EB3" w:rsidRDefault="00C86EB3"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C86EB3" w14:paraId="477E149B" w14:textId="77777777" w:rsidTr="007E2BE8">
      <w:tc>
        <w:tcPr>
          <w:tcW w:w="2551" w:type="dxa"/>
          <w:vAlign w:val="center"/>
          <w:hideMark/>
        </w:tcPr>
        <w:p w14:paraId="5C0586E4" w14:textId="77777777" w:rsidR="00C86EB3" w:rsidRDefault="00C86EB3"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3B2FDFEE" w:rsidR="00C86EB3" w:rsidRDefault="00C86EB3" w:rsidP="00CA0B64">
          <w:pPr>
            <w:jc w:val="both"/>
            <w:rPr>
              <w:rFonts w:ascii="Palatino Linotype" w:hAnsi="Palatino Linotype"/>
              <w:b/>
              <w:sz w:val="22"/>
              <w:szCs w:val="22"/>
              <w:lang w:val="es-ES_tradnl"/>
            </w:rPr>
          </w:pPr>
          <w:r>
            <w:rPr>
              <w:rFonts w:ascii="Palatino Linotype" w:hAnsi="Palatino Linotype"/>
              <w:b/>
              <w:sz w:val="22"/>
              <w:szCs w:val="22"/>
              <w:lang w:val="es-ES_tradnl"/>
            </w:rPr>
            <w:t>03316/INFOEM/IP/RR/2018</w:t>
          </w:r>
        </w:p>
      </w:tc>
    </w:tr>
    <w:tr w:rsidR="00C86EB3" w14:paraId="5B5BE21C" w14:textId="77777777" w:rsidTr="007E2BE8">
      <w:tc>
        <w:tcPr>
          <w:tcW w:w="2551" w:type="dxa"/>
          <w:vAlign w:val="center"/>
          <w:hideMark/>
        </w:tcPr>
        <w:p w14:paraId="4AE96902" w14:textId="77777777" w:rsidR="00C86EB3" w:rsidRDefault="00C86EB3"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1BDB9339" w:rsidR="00C86EB3" w:rsidRDefault="00B0133A" w:rsidP="002E1568">
          <w:pPr>
            <w:jc w:val="both"/>
            <w:rPr>
              <w:rFonts w:ascii="Palatino Linotype" w:hAnsi="Palatino Linotype"/>
              <w:b/>
              <w:sz w:val="22"/>
              <w:szCs w:val="22"/>
              <w:lang w:val="es-ES_tradnl"/>
            </w:rPr>
          </w:pPr>
          <w:r>
            <w:rPr>
              <w:rFonts w:ascii="Palatino Linotype" w:hAnsi="Palatino Linotype"/>
              <w:b/>
              <w:sz w:val="22"/>
              <w:szCs w:val="22"/>
              <w:lang w:val="es-ES_tradnl"/>
            </w:rPr>
            <w:t>XXXXXXXXXXXXXXXXXXX</w:t>
          </w:r>
        </w:p>
      </w:tc>
    </w:tr>
    <w:tr w:rsidR="00C86EB3" w14:paraId="22601A11" w14:textId="77777777" w:rsidTr="007E2BE8">
      <w:trPr>
        <w:trHeight w:val="228"/>
      </w:trPr>
      <w:tc>
        <w:tcPr>
          <w:tcW w:w="2551" w:type="dxa"/>
          <w:vAlign w:val="center"/>
          <w:hideMark/>
        </w:tcPr>
        <w:p w14:paraId="6EFE221D" w14:textId="77777777" w:rsidR="00C86EB3" w:rsidRDefault="00C86EB3"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4A2A0170" w:rsidR="00C86EB3" w:rsidRDefault="00C86EB3" w:rsidP="00725680">
          <w:pPr>
            <w:jc w:val="both"/>
            <w:rPr>
              <w:rFonts w:ascii="Palatino Linotype" w:hAnsi="Palatino Linotype"/>
              <w:b/>
              <w:sz w:val="22"/>
              <w:szCs w:val="22"/>
              <w:lang w:val="es-ES_tradnl"/>
            </w:rPr>
          </w:pPr>
          <w:r>
            <w:rPr>
              <w:rFonts w:ascii="Palatino Linotype" w:hAnsi="Palatino Linotype"/>
              <w:b/>
              <w:sz w:val="22"/>
              <w:szCs w:val="22"/>
              <w:lang w:val="es-ES_tradnl"/>
            </w:rPr>
            <w:t xml:space="preserve">Organismo Público Descentralizado para la Prestación de Los Servicios de Agua Potable Alcantarillado y Saneamiento del Municipio de Tlalnepantla de Baz </w:t>
          </w:r>
        </w:p>
      </w:tc>
    </w:tr>
    <w:tr w:rsidR="00C86EB3" w14:paraId="2D6C630E" w14:textId="77777777" w:rsidTr="007E2BE8">
      <w:tc>
        <w:tcPr>
          <w:tcW w:w="2551" w:type="dxa"/>
          <w:vAlign w:val="center"/>
          <w:hideMark/>
        </w:tcPr>
        <w:p w14:paraId="5BD4C6DB" w14:textId="656677ED" w:rsidR="00C86EB3" w:rsidRDefault="00C86EB3"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C86EB3" w:rsidRDefault="00C86EB3"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C86EB3" w:rsidRDefault="00C86EB3"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05EF"/>
    <w:multiLevelType w:val="hybridMultilevel"/>
    <w:tmpl w:val="7C9CDCF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D30960"/>
    <w:multiLevelType w:val="hybridMultilevel"/>
    <w:tmpl w:val="C36A6E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EE0EFF"/>
    <w:multiLevelType w:val="hybridMultilevel"/>
    <w:tmpl w:val="8C922614"/>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2156C0"/>
    <w:multiLevelType w:val="hybridMultilevel"/>
    <w:tmpl w:val="9B9AE09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15:restartNumberingAfterBreak="0">
    <w:nsid w:val="1FC3283E"/>
    <w:multiLevelType w:val="hybridMultilevel"/>
    <w:tmpl w:val="C36A6E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6B2955"/>
    <w:multiLevelType w:val="hybridMultilevel"/>
    <w:tmpl w:val="94E4697E"/>
    <w:lvl w:ilvl="0" w:tplc="DE028290">
      <w:start w:val="6"/>
      <w:numFmt w:val="upperRoman"/>
      <w:lvlText w:val="%1."/>
      <w:lvlJc w:val="righ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5D694A"/>
    <w:multiLevelType w:val="hybridMultilevel"/>
    <w:tmpl w:val="E9D8CB80"/>
    <w:lvl w:ilvl="0" w:tplc="A43E7C66">
      <w:start w:val="1"/>
      <w:numFmt w:val="upperRoman"/>
      <w:lvlText w:val="%1."/>
      <w:lvlJc w:val="left"/>
      <w:pPr>
        <w:ind w:left="1080" w:hanging="72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F66B9D"/>
    <w:multiLevelType w:val="hybridMultilevel"/>
    <w:tmpl w:val="C074CEFE"/>
    <w:lvl w:ilvl="0" w:tplc="F59894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3"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70153D"/>
    <w:multiLevelType w:val="hybridMultilevel"/>
    <w:tmpl w:val="E8B27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ECC4B06"/>
    <w:multiLevelType w:val="hybridMultilevel"/>
    <w:tmpl w:val="AF3ADEFC"/>
    <w:lvl w:ilvl="0" w:tplc="90DCAA88">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6"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B77871"/>
    <w:multiLevelType w:val="hybridMultilevel"/>
    <w:tmpl w:val="9E746B6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4A6B3F2B"/>
    <w:multiLevelType w:val="hybridMultilevel"/>
    <w:tmpl w:val="2F9244B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15:restartNumberingAfterBreak="0">
    <w:nsid w:val="4CBB5DBB"/>
    <w:multiLevelType w:val="hybridMultilevel"/>
    <w:tmpl w:val="58F06324"/>
    <w:lvl w:ilvl="0" w:tplc="4A9CC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CBC7F06"/>
    <w:multiLevelType w:val="hybridMultilevel"/>
    <w:tmpl w:val="106A2A82"/>
    <w:lvl w:ilvl="0" w:tplc="B89CC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573291"/>
    <w:multiLevelType w:val="hybridMultilevel"/>
    <w:tmpl w:val="C3264078"/>
    <w:lvl w:ilvl="0" w:tplc="14DC7A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6C646B"/>
    <w:multiLevelType w:val="hybridMultilevel"/>
    <w:tmpl w:val="DCF2BEAC"/>
    <w:lvl w:ilvl="0" w:tplc="9C68BC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5FF15F10"/>
    <w:multiLevelType w:val="hybridMultilevel"/>
    <w:tmpl w:val="7C9CDCF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2BA337E"/>
    <w:multiLevelType w:val="hybridMultilevel"/>
    <w:tmpl w:val="7E7258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5E4FB7"/>
    <w:multiLevelType w:val="hybridMultilevel"/>
    <w:tmpl w:val="6A2EE978"/>
    <w:lvl w:ilvl="0" w:tplc="E9783F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373FFF"/>
    <w:multiLevelType w:val="hybridMultilevel"/>
    <w:tmpl w:val="9C4C8FE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682F1D8F"/>
    <w:multiLevelType w:val="hybridMultilevel"/>
    <w:tmpl w:val="7D58FC7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0E1476E"/>
    <w:multiLevelType w:val="hybridMultilevel"/>
    <w:tmpl w:val="0F8CC1B6"/>
    <w:lvl w:ilvl="0" w:tplc="FDE03E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F52A96"/>
    <w:multiLevelType w:val="hybridMultilevel"/>
    <w:tmpl w:val="03DEBA4A"/>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4" w15:restartNumberingAfterBreak="0">
    <w:nsid w:val="7426393B"/>
    <w:multiLevelType w:val="hybridMultilevel"/>
    <w:tmpl w:val="9ED02FBC"/>
    <w:lvl w:ilvl="0" w:tplc="57CA3B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CC2141"/>
    <w:multiLevelType w:val="hybridMultilevel"/>
    <w:tmpl w:val="195C54B4"/>
    <w:lvl w:ilvl="0" w:tplc="256AAA8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6" w15:restartNumberingAfterBreak="0">
    <w:nsid w:val="7FE24B1F"/>
    <w:multiLevelType w:val="hybridMultilevel"/>
    <w:tmpl w:val="5C9A033A"/>
    <w:lvl w:ilvl="0" w:tplc="D9FC289A">
      <w:start w:val="6"/>
      <w:numFmt w:val="upperRoman"/>
      <w:lvlText w:val="%1."/>
      <w:lvlJc w:val="righ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1"/>
  </w:num>
  <w:num w:numId="3">
    <w:abstractNumId w:val="13"/>
  </w:num>
  <w:num w:numId="4">
    <w:abstractNumId w:val="32"/>
  </w:num>
  <w:num w:numId="5">
    <w:abstractNumId w:val="33"/>
  </w:num>
  <w:num w:numId="6">
    <w:abstractNumId w:val="6"/>
  </w:num>
  <w:num w:numId="7">
    <w:abstractNumId w:val="31"/>
  </w:num>
  <w:num w:numId="8">
    <w:abstractNumId w:val="34"/>
  </w:num>
  <w:num w:numId="9">
    <w:abstractNumId w:val="29"/>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1"/>
  </w:num>
  <w:num w:numId="13">
    <w:abstractNumId w:val="19"/>
  </w:num>
  <w:num w:numId="14">
    <w:abstractNumId w:val="28"/>
  </w:num>
  <w:num w:numId="15">
    <w:abstractNumId w:val="17"/>
  </w:num>
  <w:num w:numId="16">
    <w:abstractNumId w:val="18"/>
  </w:num>
  <w:num w:numId="17">
    <w:abstractNumId w:val="3"/>
  </w:num>
  <w:num w:numId="18">
    <w:abstractNumId w:val="14"/>
  </w:num>
  <w:num w:numId="19">
    <w:abstractNumId w:val="2"/>
  </w:num>
  <w:num w:numId="20">
    <w:abstractNumId w:val="5"/>
  </w:num>
  <w:num w:numId="21">
    <w:abstractNumId w:val="27"/>
  </w:num>
  <w:num w:numId="22">
    <w:abstractNumId w:val="24"/>
  </w:num>
  <w:num w:numId="23">
    <w:abstractNumId w:val="4"/>
  </w:num>
  <w:num w:numId="24">
    <w:abstractNumId w:val="36"/>
  </w:num>
  <w:num w:numId="25">
    <w:abstractNumId w:val="0"/>
  </w:num>
  <w:num w:numId="26">
    <w:abstractNumId w:val="8"/>
  </w:num>
  <w:num w:numId="27">
    <w:abstractNumId w:val="11"/>
  </w:num>
  <w:num w:numId="28">
    <w:abstractNumId w:val="22"/>
  </w:num>
  <w:num w:numId="29">
    <w:abstractNumId w:val="9"/>
  </w:num>
  <w:num w:numId="30">
    <w:abstractNumId w:val="25"/>
  </w:num>
  <w:num w:numId="31">
    <w:abstractNumId w:val="20"/>
  </w:num>
  <w:num w:numId="32">
    <w:abstractNumId w:val="12"/>
  </w:num>
  <w:num w:numId="33">
    <w:abstractNumId w:val="15"/>
  </w:num>
  <w:num w:numId="34">
    <w:abstractNumId w:val="35"/>
  </w:num>
  <w:num w:numId="35">
    <w:abstractNumId w:val="7"/>
  </w:num>
  <w:num w:numId="36">
    <w:abstractNumId w:val="26"/>
  </w:num>
  <w:num w:numId="3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07F6F"/>
    <w:rsid w:val="00013961"/>
    <w:rsid w:val="00013D8B"/>
    <w:rsid w:val="000142A6"/>
    <w:rsid w:val="00014E9A"/>
    <w:rsid w:val="00014F3B"/>
    <w:rsid w:val="000163E2"/>
    <w:rsid w:val="00022DB0"/>
    <w:rsid w:val="0002448A"/>
    <w:rsid w:val="000256B0"/>
    <w:rsid w:val="00025BD9"/>
    <w:rsid w:val="0002752B"/>
    <w:rsid w:val="00027800"/>
    <w:rsid w:val="000354B7"/>
    <w:rsid w:val="000416BB"/>
    <w:rsid w:val="00043E5D"/>
    <w:rsid w:val="0004420F"/>
    <w:rsid w:val="000467EA"/>
    <w:rsid w:val="00047A3C"/>
    <w:rsid w:val="0005034C"/>
    <w:rsid w:val="000507B6"/>
    <w:rsid w:val="00051C4C"/>
    <w:rsid w:val="00052FFB"/>
    <w:rsid w:val="000542C7"/>
    <w:rsid w:val="00054B4D"/>
    <w:rsid w:val="00055BCD"/>
    <w:rsid w:val="00057FCD"/>
    <w:rsid w:val="00060DA9"/>
    <w:rsid w:val="00061207"/>
    <w:rsid w:val="000627DA"/>
    <w:rsid w:val="0006370A"/>
    <w:rsid w:val="000657E3"/>
    <w:rsid w:val="0006581C"/>
    <w:rsid w:val="00066209"/>
    <w:rsid w:val="000679F8"/>
    <w:rsid w:val="00067BE6"/>
    <w:rsid w:val="00067DA3"/>
    <w:rsid w:val="00071EFB"/>
    <w:rsid w:val="00073B46"/>
    <w:rsid w:val="00073BA4"/>
    <w:rsid w:val="000773AB"/>
    <w:rsid w:val="00083430"/>
    <w:rsid w:val="0008542A"/>
    <w:rsid w:val="00086D0F"/>
    <w:rsid w:val="00087991"/>
    <w:rsid w:val="00087A2F"/>
    <w:rsid w:val="000941C8"/>
    <w:rsid w:val="0009491F"/>
    <w:rsid w:val="000955C2"/>
    <w:rsid w:val="00095E81"/>
    <w:rsid w:val="00096F4F"/>
    <w:rsid w:val="00097258"/>
    <w:rsid w:val="000A0CBA"/>
    <w:rsid w:val="000A2711"/>
    <w:rsid w:val="000A57F2"/>
    <w:rsid w:val="000A5983"/>
    <w:rsid w:val="000A70F6"/>
    <w:rsid w:val="000B0177"/>
    <w:rsid w:val="000B21D3"/>
    <w:rsid w:val="000B2927"/>
    <w:rsid w:val="000B3FFD"/>
    <w:rsid w:val="000B4FE8"/>
    <w:rsid w:val="000B65CF"/>
    <w:rsid w:val="000C06EC"/>
    <w:rsid w:val="000C09FB"/>
    <w:rsid w:val="000C15E2"/>
    <w:rsid w:val="000C223E"/>
    <w:rsid w:val="000C26D4"/>
    <w:rsid w:val="000C2B90"/>
    <w:rsid w:val="000C2DC4"/>
    <w:rsid w:val="000C31B2"/>
    <w:rsid w:val="000C418D"/>
    <w:rsid w:val="000C4453"/>
    <w:rsid w:val="000C4F0B"/>
    <w:rsid w:val="000C52FE"/>
    <w:rsid w:val="000C5AA6"/>
    <w:rsid w:val="000C6B3B"/>
    <w:rsid w:val="000C7A6B"/>
    <w:rsid w:val="000D05A8"/>
    <w:rsid w:val="000D0875"/>
    <w:rsid w:val="000D1CE4"/>
    <w:rsid w:val="000D23E1"/>
    <w:rsid w:val="000D7802"/>
    <w:rsid w:val="000D7D54"/>
    <w:rsid w:val="000E0B0D"/>
    <w:rsid w:val="000E0D4C"/>
    <w:rsid w:val="000E26A5"/>
    <w:rsid w:val="000E2DE5"/>
    <w:rsid w:val="000E3C8A"/>
    <w:rsid w:val="000E5379"/>
    <w:rsid w:val="000E603C"/>
    <w:rsid w:val="000E60B9"/>
    <w:rsid w:val="000E7792"/>
    <w:rsid w:val="000F128B"/>
    <w:rsid w:val="000F27A3"/>
    <w:rsid w:val="000F2894"/>
    <w:rsid w:val="000F570C"/>
    <w:rsid w:val="000F60B3"/>
    <w:rsid w:val="000F6198"/>
    <w:rsid w:val="000F6A5E"/>
    <w:rsid w:val="000F6B89"/>
    <w:rsid w:val="00100085"/>
    <w:rsid w:val="00103284"/>
    <w:rsid w:val="0011135B"/>
    <w:rsid w:val="001119A1"/>
    <w:rsid w:val="00111C6A"/>
    <w:rsid w:val="00111E67"/>
    <w:rsid w:val="001136B7"/>
    <w:rsid w:val="00113827"/>
    <w:rsid w:val="001145E0"/>
    <w:rsid w:val="00114D84"/>
    <w:rsid w:val="00114E1D"/>
    <w:rsid w:val="00114F4F"/>
    <w:rsid w:val="00114FD0"/>
    <w:rsid w:val="00116E39"/>
    <w:rsid w:val="00117758"/>
    <w:rsid w:val="001246FB"/>
    <w:rsid w:val="00130D91"/>
    <w:rsid w:val="00131A23"/>
    <w:rsid w:val="00135834"/>
    <w:rsid w:val="00135983"/>
    <w:rsid w:val="001374E2"/>
    <w:rsid w:val="00137EEF"/>
    <w:rsid w:val="001406AD"/>
    <w:rsid w:val="001409A7"/>
    <w:rsid w:val="00147BF2"/>
    <w:rsid w:val="00150121"/>
    <w:rsid w:val="00152EB9"/>
    <w:rsid w:val="00154A89"/>
    <w:rsid w:val="00155EE8"/>
    <w:rsid w:val="0016185D"/>
    <w:rsid w:val="001623C4"/>
    <w:rsid w:val="00164786"/>
    <w:rsid w:val="00164927"/>
    <w:rsid w:val="001650BF"/>
    <w:rsid w:val="00167E63"/>
    <w:rsid w:val="00170772"/>
    <w:rsid w:val="00170EC6"/>
    <w:rsid w:val="001715F1"/>
    <w:rsid w:val="001717E8"/>
    <w:rsid w:val="001735DB"/>
    <w:rsid w:val="001747F4"/>
    <w:rsid w:val="001764BD"/>
    <w:rsid w:val="001765E2"/>
    <w:rsid w:val="001766A8"/>
    <w:rsid w:val="00176A2B"/>
    <w:rsid w:val="001810BD"/>
    <w:rsid w:val="00181731"/>
    <w:rsid w:val="00183588"/>
    <w:rsid w:val="001877E3"/>
    <w:rsid w:val="00190C0E"/>
    <w:rsid w:val="001910A9"/>
    <w:rsid w:val="0019668E"/>
    <w:rsid w:val="001A211D"/>
    <w:rsid w:val="001A4110"/>
    <w:rsid w:val="001A414B"/>
    <w:rsid w:val="001A4247"/>
    <w:rsid w:val="001A4321"/>
    <w:rsid w:val="001A4AAA"/>
    <w:rsid w:val="001A523B"/>
    <w:rsid w:val="001A6401"/>
    <w:rsid w:val="001A7071"/>
    <w:rsid w:val="001A750D"/>
    <w:rsid w:val="001A76D6"/>
    <w:rsid w:val="001B1809"/>
    <w:rsid w:val="001B2911"/>
    <w:rsid w:val="001B3DB6"/>
    <w:rsid w:val="001B4CEE"/>
    <w:rsid w:val="001B7042"/>
    <w:rsid w:val="001C32EB"/>
    <w:rsid w:val="001C3D24"/>
    <w:rsid w:val="001C78B4"/>
    <w:rsid w:val="001D12BB"/>
    <w:rsid w:val="001D37AE"/>
    <w:rsid w:val="001D4F38"/>
    <w:rsid w:val="001D546F"/>
    <w:rsid w:val="001D5E49"/>
    <w:rsid w:val="001D6C31"/>
    <w:rsid w:val="001D7454"/>
    <w:rsid w:val="001E27A2"/>
    <w:rsid w:val="001E3163"/>
    <w:rsid w:val="001E7684"/>
    <w:rsid w:val="001E7A4B"/>
    <w:rsid w:val="001E7F56"/>
    <w:rsid w:val="001F192E"/>
    <w:rsid w:val="001F7359"/>
    <w:rsid w:val="00200379"/>
    <w:rsid w:val="002004A4"/>
    <w:rsid w:val="00200996"/>
    <w:rsid w:val="002009A8"/>
    <w:rsid w:val="00202CBF"/>
    <w:rsid w:val="002035AE"/>
    <w:rsid w:val="002045D9"/>
    <w:rsid w:val="00205A12"/>
    <w:rsid w:val="00205AEA"/>
    <w:rsid w:val="00205E96"/>
    <w:rsid w:val="00212533"/>
    <w:rsid w:val="0021467C"/>
    <w:rsid w:val="0021624F"/>
    <w:rsid w:val="002175B2"/>
    <w:rsid w:val="002207F0"/>
    <w:rsid w:val="00220958"/>
    <w:rsid w:val="00220F0D"/>
    <w:rsid w:val="00221FB8"/>
    <w:rsid w:val="00223CA2"/>
    <w:rsid w:val="0022420A"/>
    <w:rsid w:val="00224C1B"/>
    <w:rsid w:val="00224F8A"/>
    <w:rsid w:val="0022693F"/>
    <w:rsid w:val="00227134"/>
    <w:rsid w:val="00227C43"/>
    <w:rsid w:val="00230740"/>
    <w:rsid w:val="0023264F"/>
    <w:rsid w:val="002328ED"/>
    <w:rsid w:val="002345CA"/>
    <w:rsid w:val="00235A99"/>
    <w:rsid w:val="00235C19"/>
    <w:rsid w:val="00235FA6"/>
    <w:rsid w:val="002373CE"/>
    <w:rsid w:val="0024021F"/>
    <w:rsid w:val="002433EF"/>
    <w:rsid w:val="00246543"/>
    <w:rsid w:val="0024770D"/>
    <w:rsid w:val="002534E4"/>
    <w:rsid w:val="0025352F"/>
    <w:rsid w:val="00255050"/>
    <w:rsid w:val="002551B1"/>
    <w:rsid w:val="002552CB"/>
    <w:rsid w:val="002571D2"/>
    <w:rsid w:val="00260829"/>
    <w:rsid w:val="002612A6"/>
    <w:rsid w:val="00261EE8"/>
    <w:rsid w:val="0026350A"/>
    <w:rsid w:val="00263841"/>
    <w:rsid w:val="00264F5F"/>
    <w:rsid w:val="002650F0"/>
    <w:rsid w:val="0026697E"/>
    <w:rsid w:val="00270945"/>
    <w:rsid w:val="002740BE"/>
    <w:rsid w:val="00274494"/>
    <w:rsid w:val="00275929"/>
    <w:rsid w:val="00276430"/>
    <w:rsid w:val="002774F3"/>
    <w:rsid w:val="00280EE2"/>
    <w:rsid w:val="002829D3"/>
    <w:rsid w:val="00284056"/>
    <w:rsid w:val="00284B27"/>
    <w:rsid w:val="002901AF"/>
    <w:rsid w:val="00290B7F"/>
    <w:rsid w:val="00292319"/>
    <w:rsid w:val="00293B56"/>
    <w:rsid w:val="002A091E"/>
    <w:rsid w:val="002A1261"/>
    <w:rsid w:val="002A3170"/>
    <w:rsid w:val="002A3355"/>
    <w:rsid w:val="002A397A"/>
    <w:rsid w:val="002A3A0D"/>
    <w:rsid w:val="002A4288"/>
    <w:rsid w:val="002A6D97"/>
    <w:rsid w:val="002A750D"/>
    <w:rsid w:val="002B043C"/>
    <w:rsid w:val="002B1B82"/>
    <w:rsid w:val="002B358C"/>
    <w:rsid w:val="002B5C0B"/>
    <w:rsid w:val="002B6758"/>
    <w:rsid w:val="002B6C95"/>
    <w:rsid w:val="002B71DE"/>
    <w:rsid w:val="002C0312"/>
    <w:rsid w:val="002C345F"/>
    <w:rsid w:val="002C361C"/>
    <w:rsid w:val="002C6154"/>
    <w:rsid w:val="002D19F0"/>
    <w:rsid w:val="002D3B5F"/>
    <w:rsid w:val="002D3CBA"/>
    <w:rsid w:val="002D5AD7"/>
    <w:rsid w:val="002D5D77"/>
    <w:rsid w:val="002D6B0B"/>
    <w:rsid w:val="002E0FAE"/>
    <w:rsid w:val="002E102B"/>
    <w:rsid w:val="002E1568"/>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3068FE"/>
    <w:rsid w:val="00307774"/>
    <w:rsid w:val="00311EA8"/>
    <w:rsid w:val="003152EB"/>
    <w:rsid w:val="003164B0"/>
    <w:rsid w:val="00317987"/>
    <w:rsid w:val="0032187D"/>
    <w:rsid w:val="003229C3"/>
    <w:rsid w:val="00322A09"/>
    <w:rsid w:val="00323309"/>
    <w:rsid w:val="003245BF"/>
    <w:rsid w:val="00325833"/>
    <w:rsid w:val="00326031"/>
    <w:rsid w:val="00326CE7"/>
    <w:rsid w:val="00327158"/>
    <w:rsid w:val="00330ADB"/>
    <w:rsid w:val="00330F6F"/>
    <w:rsid w:val="003326A3"/>
    <w:rsid w:val="00334142"/>
    <w:rsid w:val="0033559E"/>
    <w:rsid w:val="003358DE"/>
    <w:rsid w:val="003377AD"/>
    <w:rsid w:val="0034028A"/>
    <w:rsid w:val="003412C2"/>
    <w:rsid w:val="00341718"/>
    <w:rsid w:val="00343ED6"/>
    <w:rsid w:val="00344721"/>
    <w:rsid w:val="00345234"/>
    <w:rsid w:val="00345E3B"/>
    <w:rsid w:val="00347266"/>
    <w:rsid w:val="0035052A"/>
    <w:rsid w:val="00350C3A"/>
    <w:rsid w:val="00351613"/>
    <w:rsid w:val="00352755"/>
    <w:rsid w:val="0035321B"/>
    <w:rsid w:val="00355170"/>
    <w:rsid w:val="00360C3E"/>
    <w:rsid w:val="00361C46"/>
    <w:rsid w:val="00363F3A"/>
    <w:rsid w:val="00365495"/>
    <w:rsid w:val="003657E8"/>
    <w:rsid w:val="00365C94"/>
    <w:rsid w:val="00366398"/>
    <w:rsid w:val="00370254"/>
    <w:rsid w:val="00372FE3"/>
    <w:rsid w:val="00373004"/>
    <w:rsid w:val="00373227"/>
    <w:rsid w:val="00373823"/>
    <w:rsid w:val="0037499B"/>
    <w:rsid w:val="00375B4E"/>
    <w:rsid w:val="00376685"/>
    <w:rsid w:val="0038104F"/>
    <w:rsid w:val="00385D61"/>
    <w:rsid w:val="00386974"/>
    <w:rsid w:val="00390B9F"/>
    <w:rsid w:val="00391A7B"/>
    <w:rsid w:val="00393A05"/>
    <w:rsid w:val="0039552D"/>
    <w:rsid w:val="00395E91"/>
    <w:rsid w:val="0039701C"/>
    <w:rsid w:val="003A0AA2"/>
    <w:rsid w:val="003A3385"/>
    <w:rsid w:val="003A397A"/>
    <w:rsid w:val="003A659F"/>
    <w:rsid w:val="003A783B"/>
    <w:rsid w:val="003A7B01"/>
    <w:rsid w:val="003A7F60"/>
    <w:rsid w:val="003B270A"/>
    <w:rsid w:val="003B4534"/>
    <w:rsid w:val="003B4AEA"/>
    <w:rsid w:val="003C3ACB"/>
    <w:rsid w:val="003C632F"/>
    <w:rsid w:val="003C7890"/>
    <w:rsid w:val="003C7EB2"/>
    <w:rsid w:val="003D0DF5"/>
    <w:rsid w:val="003D1A39"/>
    <w:rsid w:val="003D2D92"/>
    <w:rsid w:val="003D3669"/>
    <w:rsid w:val="003D4060"/>
    <w:rsid w:val="003E02C8"/>
    <w:rsid w:val="003E06D3"/>
    <w:rsid w:val="003E25E5"/>
    <w:rsid w:val="003E3309"/>
    <w:rsid w:val="003E5424"/>
    <w:rsid w:val="003E5F2F"/>
    <w:rsid w:val="003E68C4"/>
    <w:rsid w:val="003E6ADA"/>
    <w:rsid w:val="003F3551"/>
    <w:rsid w:val="003F7CA2"/>
    <w:rsid w:val="00403B17"/>
    <w:rsid w:val="00405DD8"/>
    <w:rsid w:val="004063AE"/>
    <w:rsid w:val="00407710"/>
    <w:rsid w:val="00411EF1"/>
    <w:rsid w:val="00412F99"/>
    <w:rsid w:val="00413C1C"/>
    <w:rsid w:val="004156BD"/>
    <w:rsid w:val="00415E56"/>
    <w:rsid w:val="00421BCC"/>
    <w:rsid w:val="00424E3A"/>
    <w:rsid w:val="00425800"/>
    <w:rsid w:val="00426DC4"/>
    <w:rsid w:val="004332A1"/>
    <w:rsid w:val="00434932"/>
    <w:rsid w:val="004349CB"/>
    <w:rsid w:val="00434DA7"/>
    <w:rsid w:val="00435296"/>
    <w:rsid w:val="004352B9"/>
    <w:rsid w:val="004353C8"/>
    <w:rsid w:val="00440F78"/>
    <w:rsid w:val="00441C59"/>
    <w:rsid w:val="0044547C"/>
    <w:rsid w:val="0044770B"/>
    <w:rsid w:val="00447AF6"/>
    <w:rsid w:val="00450F9B"/>
    <w:rsid w:val="00451EBC"/>
    <w:rsid w:val="00454B4C"/>
    <w:rsid w:val="004559FA"/>
    <w:rsid w:val="00456125"/>
    <w:rsid w:val="004569BD"/>
    <w:rsid w:val="00456DB1"/>
    <w:rsid w:val="00462B69"/>
    <w:rsid w:val="00462BC4"/>
    <w:rsid w:val="004642D1"/>
    <w:rsid w:val="00466025"/>
    <w:rsid w:val="00467BD4"/>
    <w:rsid w:val="0047014C"/>
    <w:rsid w:val="004706C8"/>
    <w:rsid w:val="004708C5"/>
    <w:rsid w:val="004710F6"/>
    <w:rsid w:val="00473A67"/>
    <w:rsid w:val="0047415F"/>
    <w:rsid w:val="00474B8E"/>
    <w:rsid w:val="00475219"/>
    <w:rsid w:val="0047739C"/>
    <w:rsid w:val="0047785E"/>
    <w:rsid w:val="00477874"/>
    <w:rsid w:val="004804B5"/>
    <w:rsid w:val="00480540"/>
    <w:rsid w:val="00480BD4"/>
    <w:rsid w:val="004817F9"/>
    <w:rsid w:val="004836A2"/>
    <w:rsid w:val="00483A1C"/>
    <w:rsid w:val="00484663"/>
    <w:rsid w:val="00485070"/>
    <w:rsid w:val="0048617A"/>
    <w:rsid w:val="0048628A"/>
    <w:rsid w:val="00487F15"/>
    <w:rsid w:val="00491A66"/>
    <w:rsid w:val="004937D6"/>
    <w:rsid w:val="004945C6"/>
    <w:rsid w:val="004957EE"/>
    <w:rsid w:val="004A0C64"/>
    <w:rsid w:val="004A21C5"/>
    <w:rsid w:val="004A2300"/>
    <w:rsid w:val="004A284F"/>
    <w:rsid w:val="004A2A04"/>
    <w:rsid w:val="004A4371"/>
    <w:rsid w:val="004A6A6F"/>
    <w:rsid w:val="004B2513"/>
    <w:rsid w:val="004B44CC"/>
    <w:rsid w:val="004C182F"/>
    <w:rsid w:val="004C1E98"/>
    <w:rsid w:val="004C50A6"/>
    <w:rsid w:val="004C59B8"/>
    <w:rsid w:val="004C66C2"/>
    <w:rsid w:val="004C67D0"/>
    <w:rsid w:val="004C6F7F"/>
    <w:rsid w:val="004D02E4"/>
    <w:rsid w:val="004D0A26"/>
    <w:rsid w:val="004D422B"/>
    <w:rsid w:val="004D576E"/>
    <w:rsid w:val="004D6922"/>
    <w:rsid w:val="004D693B"/>
    <w:rsid w:val="004E0208"/>
    <w:rsid w:val="004E5A46"/>
    <w:rsid w:val="004F1182"/>
    <w:rsid w:val="004F2BE9"/>
    <w:rsid w:val="004F3BA8"/>
    <w:rsid w:val="004F4A54"/>
    <w:rsid w:val="004F6B35"/>
    <w:rsid w:val="004F6DE4"/>
    <w:rsid w:val="004F729B"/>
    <w:rsid w:val="004F7587"/>
    <w:rsid w:val="00503050"/>
    <w:rsid w:val="00504EE9"/>
    <w:rsid w:val="00505DDE"/>
    <w:rsid w:val="0050712E"/>
    <w:rsid w:val="005106D8"/>
    <w:rsid w:val="00511714"/>
    <w:rsid w:val="0051306F"/>
    <w:rsid w:val="00513F62"/>
    <w:rsid w:val="00516E27"/>
    <w:rsid w:val="005215E1"/>
    <w:rsid w:val="00522489"/>
    <w:rsid w:val="00522C1B"/>
    <w:rsid w:val="00525DE6"/>
    <w:rsid w:val="00525FB3"/>
    <w:rsid w:val="0052733B"/>
    <w:rsid w:val="005310A7"/>
    <w:rsid w:val="00531716"/>
    <w:rsid w:val="00533D3A"/>
    <w:rsid w:val="0053472C"/>
    <w:rsid w:val="00537621"/>
    <w:rsid w:val="0053793E"/>
    <w:rsid w:val="005436CD"/>
    <w:rsid w:val="005442D6"/>
    <w:rsid w:val="005457D7"/>
    <w:rsid w:val="00546045"/>
    <w:rsid w:val="00546359"/>
    <w:rsid w:val="0054643E"/>
    <w:rsid w:val="0054655C"/>
    <w:rsid w:val="00547B14"/>
    <w:rsid w:val="005509B1"/>
    <w:rsid w:val="00551230"/>
    <w:rsid w:val="00552E43"/>
    <w:rsid w:val="00553C75"/>
    <w:rsid w:val="00553CA8"/>
    <w:rsid w:val="00553FDC"/>
    <w:rsid w:val="005542B0"/>
    <w:rsid w:val="00554349"/>
    <w:rsid w:val="00555953"/>
    <w:rsid w:val="00556D4F"/>
    <w:rsid w:val="00556E6F"/>
    <w:rsid w:val="00557D19"/>
    <w:rsid w:val="00560589"/>
    <w:rsid w:val="00561EAB"/>
    <w:rsid w:val="005643EE"/>
    <w:rsid w:val="00564E97"/>
    <w:rsid w:val="005653C4"/>
    <w:rsid w:val="005657D3"/>
    <w:rsid w:val="00565D50"/>
    <w:rsid w:val="005662BC"/>
    <w:rsid w:val="0057032D"/>
    <w:rsid w:val="005728FE"/>
    <w:rsid w:val="00573C2A"/>
    <w:rsid w:val="00574665"/>
    <w:rsid w:val="00577907"/>
    <w:rsid w:val="00577B41"/>
    <w:rsid w:val="00581240"/>
    <w:rsid w:val="0058160D"/>
    <w:rsid w:val="00582674"/>
    <w:rsid w:val="005826AB"/>
    <w:rsid w:val="00582972"/>
    <w:rsid w:val="005833AE"/>
    <w:rsid w:val="00584687"/>
    <w:rsid w:val="00584EBE"/>
    <w:rsid w:val="00591A91"/>
    <w:rsid w:val="00591D6C"/>
    <w:rsid w:val="00591F82"/>
    <w:rsid w:val="00595FA1"/>
    <w:rsid w:val="005A17B0"/>
    <w:rsid w:val="005A4041"/>
    <w:rsid w:val="005A5205"/>
    <w:rsid w:val="005B03F8"/>
    <w:rsid w:val="005B0DAE"/>
    <w:rsid w:val="005B12DE"/>
    <w:rsid w:val="005B1332"/>
    <w:rsid w:val="005B1671"/>
    <w:rsid w:val="005B345E"/>
    <w:rsid w:val="005B36BD"/>
    <w:rsid w:val="005B6974"/>
    <w:rsid w:val="005B7536"/>
    <w:rsid w:val="005B7BD2"/>
    <w:rsid w:val="005C05D2"/>
    <w:rsid w:val="005C2780"/>
    <w:rsid w:val="005C436B"/>
    <w:rsid w:val="005C4682"/>
    <w:rsid w:val="005C4D27"/>
    <w:rsid w:val="005C55AE"/>
    <w:rsid w:val="005C7879"/>
    <w:rsid w:val="005D053F"/>
    <w:rsid w:val="005D07B8"/>
    <w:rsid w:val="005D2426"/>
    <w:rsid w:val="005D516E"/>
    <w:rsid w:val="005D6234"/>
    <w:rsid w:val="005D6D42"/>
    <w:rsid w:val="005D7382"/>
    <w:rsid w:val="005E025A"/>
    <w:rsid w:val="005E057B"/>
    <w:rsid w:val="005E4D65"/>
    <w:rsid w:val="005E5433"/>
    <w:rsid w:val="005E5682"/>
    <w:rsid w:val="005E6BF5"/>
    <w:rsid w:val="005E6C14"/>
    <w:rsid w:val="005E7A7B"/>
    <w:rsid w:val="005F1715"/>
    <w:rsid w:val="005F4823"/>
    <w:rsid w:val="005F54A3"/>
    <w:rsid w:val="005F5D92"/>
    <w:rsid w:val="005F5F7F"/>
    <w:rsid w:val="00600CE6"/>
    <w:rsid w:val="00602D6A"/>
    <w:rsid w:val="00603AD5"/>
    <w:rsid w:val="00603DA7"/>
    <w:rsid w:val="00604BF6"/>
    <w:rsid w:val="00606585"/>
    <w:rsid w:val="00607E69"/>
    <w:rsid w:val="00610025"/>
    <w:rsid w:val="0061174B"/>
    <w:rsid w:val="00613D0E"/>
    <w:rsid w:val="006149DE"/>
    <w:rsid w:val="00623B8D"/>
    <w:rsid w:val="00624A65"/>
    <w:rsid w:val="006258FE"/>
    <w:rsid w:val="006267FA"/>
    <w:rsid w:val="006272DB"/>
    <w:rsid w:val="0063009C"/>
    <w:rsid w:val="00634485"/>
    <w:rsid w:val="00636F39"/>
    <w:rsid w:val="00637249"/>
    <w:rsid w:val="0063754F"/>
    <w:rsid w:val="0065133A"/>
    <w:rsid w:val="00652DED"/>
    <w:rsid w:val="00654C45"/>
    <w:rsid w:val="00655B2E"/>
    <w:rsid w:val="00660310"/>
    <w:rsid w:val="006607FD"/>
    <w:rsid w:val="006608DF"/>
    <w:rsid w:val="00662FB1"/>
    <w:rsid w:val="00670A50"/>
    <w:rsid w:val="00674A16"/>
    <w:rsid w:val="0067588A"/>
    <w:rsid w:val="00676A20"/>
    <w:rsid w:val="00676F9F"/>
    <w:rsid w:val="00677BDD"/>
    <w:rsid w:val="00681CB2"/>
    <w:rsid w:val="00681F35"/>
    <w:rsid w:val="00682AF4"/>
    <w:rsid w:val="00683FF4"/>
    <w:rsid w:val="00684F57"/>
    <w:rsid w:val="00684FB7"/>
    <w:rsid w:val="00685D2F"/>
    <w:rsid w:val="00686A22"/>
    <w:rsid w:val="00686A8A"/>
    <w:rsid w:val="00687094"/>
    <w:rsid w:val="00687E13"/>
    <w:rsid w:val="006911C0"/>
    <w:rsid w:val="006918EE"/>
    <w:rsid w:val="00692FD5"/>
    <w:rsid w:val="00693254"/>
    <w:rsid w:val="00696A49"/>
    <w:rsid w:val="006A1780"/>
    <w:rsid w:val="006A1EA6"/>
    <w:rsid w:val="006A31FC"/>
    <w:rsid w:val="006A4466"/>
    <w:rsid w:val="006A6078"/>
    <w:rsid w:val="006A66F8"/>
    <w:rsid w:val="006B0DBD"/>
    <w:rsid w:val="006B1316"/>
    <w:rsid w:val="006B2B26"/>
    <w:rsid w:val="006B34A2"/>
    <w:rsid w:val="006B3541"/>
    <w:rsid w:val="006B4B3F"/>
    <w:rsid w:val="006B5FF0"/>
    <w:rsid w:val="006B634A"/>
    <w:rsid w:val="006C0F6B"/>
    <w:rsid w:val="006C3509"/>
    <w:rsid w:val="006C4122"/>
    <w:rsid w:val="006C4621"/>
    <w:rsid w:val="006C52CE"/>
    <w:rsid w:val="006C57D0"/>
    <w:rsid w:val="006C6F20"/>
    <w:rsid w:val="006C7872"/>
    <w:rsid w:val="006D18C3"/>
    <w:rsid w:val="006D27E2"/>
    <w:rsid w:val="006D5149"/>
    <w:rsid w:val="006D57AB"/>
    <w:rsid w:val="006D6DC4"/>
    <w:rsid w:val="006D709E"/>
    <w:rsid w:val="006E0CD5"/>
    <w:rsid w:val="006E129D"/>
    <w:rsid w:val="006E2945"/>
    <w:rsid w:val="006E2B0C"/>
    <w:rsid w:val="006E5110"/>
    <w:rsid w:val="006E6389"/>
    <w:rsid w:val="006E78BC"/>
    <w:rsid w:val="006E7F99"/>
    <w:rsid w:val="006F1146"/>
    <w:rsid w:val="006F1496"/>
    <w:rsid w:val="006F1EF3"/>
    <w:rsid w:val="006F2374"/>
    <w:rsid w:val="006F2BF3"/>
    <w:rsid w:val="006F30F8"/>
    <w:rsid w:val="006F411B"/>
    <w:rsid w:val="00700EBF"/>
    <w:rsid w:val="00702C4F"/>
    <w:rsid w:val="00716A29"/>
    <w:rsid w:val="00716D27"/>
    <w:rsid w:val="007178D6"/>
    <w:rsid w:val="00721A45"/>
    <w:rsid w:val="00722947"/>
    <w:rsid w:val="00722FE7"/>
    <w:rsid w:val="00723651"/>
    <w:rsid w:val="00724B06"/>
    <w:rsid w:val="00725680"/>
    <w:rsid w:val="00726EA0"/>
    <w:rsid w:val="00727EC8"/>
    <w:rsid w:val="00731064"/>
    <w:rsid w:val="00731C38"/>
    <w:rsid w:val="00732F1A"/>
    <w:rsid w:val="007339EF"/>
    <w:rsid w:val="00734B70"/>
    <w:rsid w:val="00735132"/>
    <w:rsid w:val="00735E7C"/>
    <w:rsid w:val="00736C06"/>
    <w:rsid w:val="00736C2A"/>
    <w:rsid w:val="0073782D"/>
    <w:rsid w:val="0074064F"/>
    <w:rsid w:val="00740D10"/>
    <w:rsid w:val="00741F3B"/>
    <w:rsid w:val="0074210C"/>
    <w:rsid w:val="00743800"/>
    <w:rsid w:val="00743ACF"/>
    <w:rsid w:val="00746BE1"/>
    <w:rsid w:val="0075421F"/>
    <w:rsid w:val="00754ABE"/>
    <w:rsid w:val="00754F0B"/>
    <w:rsid w:val="00757C2D"/>
    <w:rsid w:val="007609DF"/>
    <w:rsid w:val="00760CC2"/>
    <w:rsid w:val="0076141F"/>
    <w:rsid w:val="007631E9"/>
    <w:rsid w:val="00766CA7"/>
    <w:rsid w:val="00767D22"/>
    <w:rsid w:val="00771543"/>
    <w:rsid w:val="0077203A"/>
    <w:rsid w:val="00774246"/>
    <w:rsid w:val="0077496D"/>
    <w:rsid w:val="00775908"/>
    <w:rsid w:val="007770D8"/>
    <w:rsid w:val="00777F72"/>
    <w:rsid w:val="007822B0"/>
    <w:rsid w:val="00785B60"/>
    <w:rsid w:val="00787B63"/>
    <w:rsid w:val="00787C5F"/>
    <w:rsid w:val="007907E7"/>
    <w:rsid w:val="00791430"/>
    <w:rsid w:val="00791C37"/>
    <w:rsid w:val="00794553"/>
    <w:rsid w:val="00795352"/>
    <w:rsid w:val="00796B5F"/>
    <w:rsid w:val="007A18BB"/>
    <w:rsid w:val="007A2187"/>
    <w:rsid w:val="007A23C9"/>
    <w:rsid w:val="007A2913"/>
    <w:rsid w:val="007A4939"/>
    <w:rsid w:val="007A713D"/>
    <w:rsid w:val="007A73BE"/>
    <w:rsid w:val="007A7B20"/>
    <w:rsid w:val="007B1FF9"/>
    <w:rsid w:val="007B271A"/>
    <w:rsid w:val="007B2ABE"/>
    <w:rsid w:val="007B5680"/>
    <w:rsid w:val="007B584D"/>
    <w:rsid w:val="007C06FD"/>
    <w:rsid w:val="007C2155"/>
    <w:rsid w:val="007C3045"/>
    <w:rsid w:val="007C5C23"/>
    <w:rsid w:val="007C75CA"/>
    <w:rsid w:val="007C7783"/>
    <w:rsid w:val="007D088F"/>
    <w:rsid w:val="007D1D57"/>
    <w:rsid w:val="007D35FB"/>
    <w:rsid w:val="007D489A"/>
    <w:rsid w:val="007D4C85"/>
    <w:rsid w:val="007D6C06"/>
    <w:rsid w:val="007E0CB8"/>
    <w:rsid w:val="007E131E"/>
    <w:rsid w:val="007E27E3"/>
    <w:rsid w:val="007E2BE8"/>
    <w:rsid w:val="007E563E"/>
    <w:rsid w:val="007F12E9"/>
    <w:rsid w:val="007F2B33"/>
    <w:rsid w:val="007F407A"/>
    <w:rsid w:val="007F528B"/>
    <w:rsid w:val="007F67B9"/>
    <w:rsid w:val="007F7E34"/>
    <w:rsid w:val="0080035C"/>
    <w:rsid w:val="008007B0"/>
    <w:rsid w:val="00803D96"/>
    <w:rsid w:val="008106D5"/>
    <w:rsid w:val="00810888"/>
    <w:rsid w:val="008112A9"/>
    <w:rsid w:val="00811B89"/>
    <w:rsid w:val="0081205D"/>
    <w:rsid w:val="00812CD5"/>
    <w:rsid w:val="00813EBD"/>
    <w:rsid w:val="008176B3"/>
    <w:rsid w:val="0082258E"/>
    <w:rsid w:val="00822975"/>
    <w:rsid w:val="00823116"/>
    <w:rsid w:val="0082577D"/>
    <w:rsid w:val="00825EB2"/>
    <w:rsid w:val="00826B63"/>
    <w:rsid w:val="0083040F"/>
    <w:rsid w:val="008315A9"/>
    <w:rsid w:val="0083198D"/>
    <w:rsid w:val="00832901"/>
    <w:rsid w:val="008331EF"/>
    <w:rsid w:val="0083524C"/>
    <w:rsid w:val="00836636"/>
    <w:rsid w:val="0084009B"/>
    <w:rsid w:val="00840665"/>
    <w:rsid w:val="00840A1D"/>
    <w:rsid w:val="00843803"/>
    <w:rsid w:val="00845368"/>
    <w:rsid w:val="00845D5D"/>
    <w:rsid w:val="00851A28"/>
    <w:rsid w:val="00852765"/>
    <w:rsid w:val="0085688E"/>
    <w:rsid w:val="00860343"/>
    <w:rsid w:val="00860AD2"/>
    <w:rsid w:val="0086510C"/>
    <w:rsid w:val="0086537D"/>
    <w:rsid w:val="00865AB3"/>
    <w:rsid w:val="00871814"/>
    <w:rsid w:val="008718F3"/>
    <w:rsid w:val="008721DB"/>
    <w:rsid w:val="0087270F"/>
    <w:rsid w:val="00873A70"/>
    <w:rsid w:val="00876EA7"/>
    <w:rsid w:val="00880CEA"/>
    <w:rsid w:val="008824C4"/>
    <w:rsid w:val="00883017"/>
    <w:rsid w:val="008834E3"/>
    <w:rsid w:val="00883E64"/>
    <w:rsid w:val="00886C6E"/>
    <w:rsid w:val="008900BC"/>
    <w:rsid w:val="0089117D"/>
    <w:rsid w:val="00891775"/>
    <w:rsid w:val="00892AFC"/>
    <w:rsid w:val="00893071"/>
    <w:rsid w:val="00894541"/>
    <w:rsid w:val="0089499F"/>
    <w:rsid w:val="00896F2F"/>
    <w:rsid w:val="008A01EE"/>
    <w:rsid w:val="008A0D1F"/>
    <w:rsid w:val="008A1C25"/>
    <w:rsid w:val="008A3400"/>
    <w:rsid w:val="008A3593"/>
    <w:rsid w:val="008A43C7"/>
    <w:rsid w:val="008A49F2"/>
    <w:rsid w:val="008A615E"/>
    <w:rsid w:val="008A747F"/>
    <w:rsid w:val="008A7992"/>
    <w:rsid w:val="008B0DCA"/>
    <w:rsid w:val="008B3EED"/>
    <w:rsid w:val="008B5D75"/>
    <w:rsid w:val="008B6033"/>
    <w:rsid w:val="008B69A2"/>
    <w:rsid w:val="008B784E"/>
    <w:rsid w:val="008C0A06"/>
    <w:rsid w:val="008C0B1E"/>
    <w:rsid w:val="008C1B85"/>
    <w:rsid w:val="008C263F"/>
    <w:rsid w:val="008C3674"/>
    <w:rsid w:val="008C3B4F"/>
    <w:rsid w:val="008C550D"/>
    <w:rsid w:val="008D1526"/>
    <w:rsid w:val="008D4C64"/>
    <w:rsid w:val="008D5488"/>
    <w:rsid w:val="008D6948"/>
    <w:rsid w:val="008E04BB"/>
    <w:rsid w:val="008E20E3"/>
    <w:rsid w:val="008E24F2"/>
    <w:rsid w:val="008E35F9"/>
    <w:rsid w:val="008E4727"/>
    <w:rsid w:val="008E64B7"/>
    <w:rsid w:val="008E652E"/>
    <w:rsid w:val="008E6E98"/>
    <w:rsid w:val="008E71BB"/>
    <w:rsid w:val="008F0130"/>
    <w:rsid w:val="008F0A05"/>
    <w:rsid w:val="008F0F5A"/>
    <w:rsid w:val="008F50CF"/>
    <w:rsid w:val="008F57F9"/>
    <w:rsid w:val="008F5F19"/>
    <w:rsid w:val="00901152"/>
    <w:rsid w:val="009017A8"/>
    <w:rsid w:val="00901CD1"/>
    <w:rsid w:val="009042FC"/>
    <w:rsid w:val="00904D56"/>
    <w:rsid w:val="00904ED9"/>
    <w:rsid w:val="00906B6B"/>
    <w:rsid w:val="00911102"/>
    <w:rsid w:val="00911665"/>
    <w:rsid w:val="00912D93"/>
    <w:rsid w:val="00914F3A"/>
    <w:rsid w:val="00914F3F"/>
    <w:rsid w:val="00915548"/>
    <w:rsid w:val="0092387E"/>
    <w:rsid w:val="009238DD"/>
    <w:rsid w:val="009251B9"/>
    <w:rsid w:val="009255F3"/>
    <w:rsid w:val="00927367"/>
    <w:rsid w:val="009275F5"/>
    <w:rsid w:val="00932904"/>
    <w:rsid w:val="0093333E"/>
    <w:rsid w:val="00933B28"/>
    <w:rsid w:val="00935A0D"/>
    <w:rsid w:val="00940311"/>
    <w:rsid w:val="00940C54"/>
    <w:rsid w:val="00940E50"/>
    <w:rsid w:val="0094116E"/>
    <w:rsid w:val="009413B1"/>
    <w:rsid w:val="00942EE5"/>
    <w:rsid w:val="00944CA2"/>
    <w:rsid w:val="00945246"/>
    <w:rsid w:val="00945611"/>
    <w:rsid w:val="00945BE0"/>
    <w:rsid w:val="0094776B"/>
    <w:rsid w:val="00951195"/>
    <w:rsid w:val="009511A7"/>
    <w:rsid w:val="00952C40"/>
    <w:rsid w:val="00956155"/>
    <w:rsid w:val="009562D6"/>
    <w:rsid w:val="009569D8"/>
    <w:rsid w:val="00956D62"/>
    <w:rsid w:val="0096175D"/>
    <w:rsid w:val="00964890"/>
    <w:rsid w:val="00964B06"/>
    <w:rsid w:val="0096573A"/>
    <w:rsid w:val="0096785D"/>
    <w:rsid w:val="009707AE"/>
    <w:rsid w:val="0097098C"/>
    <w:rsid w:val="00971658"/>
    <w:rsid w:val="00971BD9"/>
    <w:rsid w:val="00971D31"/>
    <w:rsid w:val="00975EB9"/>
    <w:rsid w:val="00976126"/>
    <w:rsid w:val="00976E68"/>
    <w:rsid w:val="009804D1"/>
    <w:rsid w:val="0098068E"/>
    <w:rsid w:val="00980B26"/>
    <w:rsid w:val="009838C8"/>
    <w:rsid w:val="00984082"/>
    <w:rsid w:val="009843AF"/>
    <w:rsid w:val="009869AF"/>
    <w:rsid w:val="00986E8F"/>
    <w:rsid w:val="009904D4"/>
    <w:rsid w:val="00991316"/>
    <w:rsid w:val="00992541"/>
    <w:rsid w:val="009926BD"/>
    <w:rsid w:val="00992CAB"/>
    <w:rsid w:val="009961B4"/>
    <w:rsid w:val="009A083C"/>
    <w:rsid w:val="009A1810"/>
    <w:rsid w:val="009A359D"/>
    <w:rsid w:val="009A58B4"/>
    <w:rsid w:val="009A65F3"/>
    <w:rsid w:val="009A6C40"/>
    <w:rsid w:val="009A7934"/>
    <w:rsid w:val="009B11E0"/>
    <w:rsid w:val="009B1592"/>
    <w:rsid w:val="009B1B4F"/>
    <w:rsid w:val="009B21C8"/>
    <w:rsid w:val="009B351E"/>
    <w:rsid w:val="009B3A3B"/>
    <w:rsid w:val="009B5C0F"/>
    <w:rsid w:val="009B5D9D"/>
    <w:rsid w:val="009C0DC0"/>
    <w:rsid w:val="009C1A6A"/>
    <w:rsid w:val="009C229C"/>
    <w:rsid w:val="009C22C3"/>
    <w:rsid w:val="009C2616"/>
    <w:rsid w:val="009C29BB"/>
    <w:rsid w:val="009C2A6B"/>
    <w:rsid w:val="009C62EE"/>
    <w:rsid w:val="009C664C"/>
    <w:rsid w:val="009C6FF0"/>
    <w:rsid w:val="009D039B"/>
    <w:rsid w:val="009D08F7"/>
    <w:rsid w:val="009D2140"/>
    <w:rsid w:val="009D2BD7"/>
    <w:rsid w:val="009D2C3E"/>
    <w:rsid w:val="009D3403"/>
    <w:rsid w:val="009D4854"/>
    <w:rsid w:val="009D55F7"/>
    <w:rsid w:val="009E0776"/>
    <w:rsid w:val="009E5A7D"/>
    <w:rsid w:val="009E72DE"/>
    <w:rsid w:val="009E7BFE"/>
    <w:rsid w:val="009F30E0"/>
    <w:rsid w:val="009F3738"/>
    <w:rsid w:val="009F485D"/>
    <w:rsid w:val="009F760A"/>
    <w:rsid w:val="00A00684"/>
    <w:rsid w:val="00A01587"/>
    <w:rsid w:val="00A01A75"/>
    <w:rsid w:val="00A03867"/>
    <w:rsid w:val="00A0494C"/>
    <w:rsid w:val="00A04BBB"/>
    <w:rsid w:val="00A04D53"/>
    <w:rsid w:val="00A04F99"/>
    <w:rsid w:val="00A0600E"/>
    <w:rsid w:val="00A06C68"/>
    <w:rsid w:val="00A121C7"/>
    <w:rsid w:val="00A12C94"/>
    <w:rsid w:val="00A13200"/>
    <w:rsid w:val="00A135CC"/>
    <w:rsid w:val="00A138DC"/>
    <w:rsid w:val="00A15EDC"/>
    <w:rsid w:val="00A15FEC"/>
    <w:rsid w:val="00A166A3"/>
    <w:rsid w:val="00A17788"/>
    <w:rsid w:val="00A22137"/>
    <w:rsid w:val="00A23E3A"/>
    <w:rsid w:val="00A249A8"/>
    <w:rsid w:val="00A26A80"/>
    <w:rsid w:val="00A30A8F"/>
    <w:rsid w:val="00A314B9"/>
    <w:rsid w:val="00A33FC6"/>
    <w:rsid w:val="00A343BA"/>
    <w:rsid w:val="00A34CB7"/>
    <w:rsid w:val="00A358F4"/>
    <w:rsid w:val="00A36876"/>
    <w:rsid w:val="00A41A76"/>
    <w:rsid w:val="00A41BFA"/>
    <w:rsid w:val="00A430FD"/>
    <w:rsid w:val="00A4602C"/>
    <w:rsid w:val="00A51515"/>
    <w:rsid w:val="00A5237E"/>
    <w:rsid w:val="00A569F6"/>
    <w:rsid w:val="00A57155"/>
    <w:rsid w:val="00A57F6E"/>
    <w:rsid w:val="00A602B0"/>
    <w:rsid w:val="00A60EB7"/>
    <w:rsid w:val="00A61366"/>
    <w:rsid w:val="00A64716"/>
    <w:rsid w:val="00A64BD4"/>
    <w:rsid w:val="00A650D8"/>
    <w:rsid w:val="00A65346"/>
    <w:rsid w:val="00A65D15"/>
    <w:rsid w:val="00A65F66"/>
    <w:rsid w:val="00A66645"/>
    <w:rsid w:val="00A6764E"/>
    <w:rsid w:val="00A6776A"/>
    <w:rsid w:val="00A71A17"/>
    <w:rsid w:val="00A726E7"/>
    <w:rsid w:val="00A74766"/>
    <w:rsid w:val="00A77719"/>
    <w:rsid w:val="00A80521"/>
    <w:rsid w:val="00A80FAC"/>
    <w:rsid w:val="00A81140"/>
    <w:rsid w:val="00A82D3C"/>
    <w:rsid w:val="00A85549"/>
    <w:rsid w:val="00A874E1"/>
    <w:rsid w:val="00A87E8C"/>
    <w:rsid w:val="00A909B9"/>
    <w:rsid w:val="00A90A91"/>
    <w:rsid w:val="00A9137F"/>
    <w:rsid w:val="00A91D61"/>
    <w:rsid w:val="00A92EB3"/>
    <w:rsid w:val="00A93331"/>
    <w:rsid w:val="00A937A4"/>
    <w:rsid w:val="00A939F1"/>
    <w:rsid w:val="00A93E62"/>
    <w:rsid w:val="00A940CC"/>
    <w:rsid w:val="00A9446C"/>
    <w:rsid w:val="00A94941"/>
    <w:rsid w:val="00A966CF"/>
    <w:rsid w:val="00A9672B"/>
    <w:rsid w:val="00AA1A24"/>
    <w:rsid w:val="00AA2543"/>
    <w:rsid w:val="00AA7D15"/>
    <w:rsid w:val="00AB00FD"/>
    <w:rsid w:val="00AB10AD"/>
    <w:rsid w:val="00AB2A1E"/>
    <w:rsid w:val="00AB6BDA"/>
    <w:rsid w:val="00AB7050"/>
    <w:rsid w:val="00AC0D94"/>
    <w:rsid w:val="00AC5435"/>
    <w:rsid w:val="00AC644D"/>
    <w:rsid w:val="00AD172C"/>
    <w:rsid w:val="00AD234E"/>
    <w:rsid w:val="00AD26DC"/>
    <w:rsid w:val="00AD2ABD"/>
    <w:rsid w:val="00AD3372"/>
    <w:rsid w:val="00AD4995"/>
    <w:rsid w:val="00AD5CBD"/>
    <w:rsid w:val="00AD60C5"/>
    <w:rsid w:val="00AD67F8"/>
    <w:rsid w:val="00AD6ECC"/>
    <w:rsid w:val="00AE246F"/>
    <w:rsid w:val="00AE24D4"/>
    <w:rsid w:val="00AE2FAE"/>
    <w:rsid w:val="00AE3683"/>
    <w:rsid w:val="00AE4009"/>
    <w:rsid w:val="00AF03F7"/>
    <w:rsid w:val="00AF18E4"/>
    <w:rsid w:val="00AF247E"/>
    <w:rsid w:val="00AF3F74"/>
    <w:rsid w:val="00AF4442"/>
    <w:rsid w:val="00AF4A47"/>
    <w:rsid w:val="00B002D8"/>
    <w:rsid w:val="00B0115D"/>
    <w:rsid w:val="00B0133A"/>
    <w:rsid w:val="00B016C5"/>
    <w:rsid w:val="00B01EE6"/>
    <w:rsid w:val="00B0356B"/>
    <w:rsid w:val="00B03AE5"/>
    <w:rsid w:val="00B043FD"/>
    <w:rsid w:val="00B05920"/>
    <w:rsid w:val="00B06891"/>
    <w:rsid w:val="00B10CD5"/>
    <w:rsid w:val="00B11FAF"/>
    <w:rsid w:val="00B13149"/>
    <w:rsid w:val="00B132B4"/>
    <w:rsid w:val="00B236DC"/>
    <w:rsid w:val="00B252A8"/>
    <w:rsid w:val="00B25A82"/>
    <w:rsid w:val="00B2705D"/>
    <w:rsid w:val="00B277E7"/>
    <w:rsid w:val="00B27FF6"/>
    <w:rsid w:val="00B319D2"/>
    <w:rsid w:val="00B32540"/>
    <w:rsid w:val="00B34C2C"/>
    <w:rsid w:val="00B365A2"/>
    <w:rsid w:val="00B40A80"/>
    <w:rsid w:val="00B43757"/>
    <w:rsid w:val="00B439C2"/>
    <w:rsid w:val="00B456E6"/>
    <w:rsid w:val="00B45F76"/>
    <w:rsid w:val="00B45F90"/>
    <w:rsid w:val="00B4631A"/>
    <w:rsid w:val="00B46384"/>
    <w:rsid w:val="00B46D4C"/>
    <w:rsid w:val="00B47B70"/>
    <w:rsid w:val="00B5285B"/>
    <w:rsid w:val="00B550FE"/>
    <w:rsid w:val="00B57332"/>
    <w:rsid w:val="00B6052F"/>
    <w:rsid w:val="00B63E00"/>
    <w:rsid w:val="00B66292"/>
    <w:rsid w:val="00B67138"/>
    <w:rsid w:val="00B67F97"/>
    <w:rsid w:val="00B70F8F"/>
    <w:rsid w:val="00B71AED"/>
    <w:rsid w:val="00B73D8D"/>
    <w:rsid w:val="00B74608"/>
    <w:rsid w:val="00B753C7"/>
    <w:rsid w:val="00B77CC9"/>
    <w:rsid w:val="00B80E08"/>
    <w:rsid w:val="00B81B6F"/>
    <w:rsid w:val="00B860D9"/>
    <w:rsid w:val="00B911C0"/>
    <w:rsid w:val="00B9193F"/>
    <w:rsid w:val="00B91B25"/>
    <w:rsid w:val="00B93953"/>
    <w:rsid w:val="00B941E0"/>
    <w:rsid w:val="00B942F0"/>
    <w:rsid w:val="00B94A42"/>
    <w:rsid w:val="00B95049"/>
    <w:rsid w:val="00B954F0"/>
    <w:rsid w:val="00B9602B"/>
    <w:rsid w:val="00B965C5"/>
    <w:rsid w:val="00B967A9"/>
    <w:rsid w:val="00BA310E"/>
    <w:rsid w:val="00BA4680"/>
    <w:rsid w:val="00BA6899"/>
    <w:rsid w:val="00BB20BE"/>
    <w:rsid w:val="00BB2F04"/>
    <w:rsid w:val="00BB3B20"/>
    <w:rsid w:val="00BB48B2"/>
    <w:rsid w:val="00BC2042"/>
    <w:rsid w:val="00BC2E08"/>
    <w:rsid w:val="00BC53C8"/>
    <w:rsid w:val="00BC7951"/>
    <w:rsid w:val="00BD1BF5"/>
    <w:rsid w:val="00BD441C"/>
    <w:rsid w:val="00BD4A22"/>
    <w:rsid w:val="00BD5233"/>
    <w:rsid w:val="00BD7483"/>
    <w:rsid w:val="00BE01E3"/>
    <w:rsid w:val="00BE2828"/>
    <w:rsid w:val="00BE4A99"/>
    <w:rsid w:val="00BE540E"/>
    <w:rsid w:val="00BE5795"/>
    <w:rsid w:val="00BF0C44"/>
    <w:rsid w:val="00BF3F78"/>
    <w:rsid w:val="00BF4C01"/>
    <w:rsid w:val="00BF5651"/>
    <w:rsid w:val="00BF6F33"/>
    <w:rsid w:val="00BF7DA6"/>
    <w:rsid w:val="00C0230B"/>
    <w:rsid w:val="00C02BB7"/>
    <w:rsid w:val="00C04C83"/>
    <w:rsid w:val="00C1068F"/>
    <w:rsid w:val="00C12232"/>
    <w:rsid w:val="00C13D6C"/>
    <w:rsid w:val="00C14192"/>
    <w:rsid w:val="00C240DC"/>
    <w:rsid w:val="00C251CD"/>
    <w:rsid w:val="00C26A11"/>
    <w:rsid w:val="00C32D1D"/>
    <w:rsid w:val="00C33279"/>
    <w:rsid w:val="00C365D6"/>
    <w:rsid w:val="00C40E73"/>
    <w:rsid w:val="00C419FC"/>
    <w:rsid w:val="00C41EBF"/>
    <w:rsid w:val="00C47A07"/>
    <w:rsid w:val="00C47D1B"/>
    <w:rsid w:val="00C503FF"/>
    <w:rsid w:val="00C50B83"/>
    <w:rsid w:val="00C5112D"/>
    <w:rsid w:val="00C549AD"/>
    <w:rsid w:val="00C56217"/>
    <w:rsid w:val="00C56A1D"/>
    <w:rsid w:val="00C60714"/>
    <w:rsid w:val="00C60D1F"/>
    <w:rsid w:val="00C61143"/>
    <w:rsid w:val="00C63EF1"/>
    <w:rsid w:val="00C657AA"/>
    <w:rsid w:val="00C65F73"/>
    <w:rsid w:val="00C72F08"/>
    <w:rsid w:val="00C73C53"/>
    <w:rsid w:val="00C75879"/>
    <w:rsid w:val="00C75DF4"/>
    <w:rsid w:val="00C77CAB"/>
    <w:rsid w:val="00C80956"/>
    <w:rsid w:val="00C80F8C"/>
    <w:rsid w:val="00C81CA5"/>
    <w:rsid w:val="00C86EB3"/>
    <w:rsid w:val="00C8734B"/>
    <w:rsid w:val="00C90970"/>
    <w:rsid w:val="00C91163"/>
    <w:rsid w:val="00C944F9"/>
    <w:rsid w:val="00C94EA7"/>
    <w:rsid w:val="00CA0B64"/>
    <w:rsid w:val="00CA1E20"/>
    <w:rsid w:val="00CA4AD0"/>
    <w:rsid w:val="00CA4E9B"/>
    <w:rsid w:val="00CA6914"/>
    <w:rsid w:val="00CA6BFC"/>
    <w:rsid w:val="00CA7B2B"/>
    <w:rsid w:val="00CB0854"/>
    <w:rsid w:val="00CB2633"/>
    <w:rsid w:val="00CB48AF"/>
    <w:rsid w:val="00CB6DAD"/>
    <w:rsid w:val="00CC1C85"/>
    <w:rsid w:val="00CC2001"/>
    <w:rsid w:val="00CC280D"/>
    <w:rsid w:val="00CC5554"/>
    <w:rsid w:val="00CD0248"/>
    <w:rsid w:val="00CD2E12"/>
    <w:rsid w:val="00CD43D2"/>
    <w:rsid w:val="00CD5285"/>
    <w:rsid w:val="00CE1831"/>
    <w:rsid w:val="00CE62C7"/>
    <w:rsid w:val="00CE7CF4"/>
    <w:rsid w:val="00CF02AF"/>
    <w:rsid w:val="00CF0AC2"/>
    <w:rsid w:val="00CF0F8C"/>
    <w:rsid w:val="00CF323B"/>
    <w:rsid w:val="00CF40CA"/>
    <w:rsid w:val="00CF44F2"/>
    <w:rsid w:val="00CF496D"/>
    <w:rsid w:val="00CF4BB7"/>
    <w:rsid w:val="00CF7242"/>
    <w:rsid w:val="00D02B7A"/>
    <w:rsid w:val="00D02E38"/>
    <w:rsid w:val="00D041FD"/>
    <w:rsid w:val="00D068E5"/>
    <w:rsid w:val="00D07FBE"/>
    <w:rsid w:val="00D10FAB"/>
    <w:rsid w:val="00D1359F"/>
    <w:rsid w:val="00D13DB5"/>
    <w:rsid w:val="00D1478E"/>
    <w:rsid w:val="00D16FAF"/>
    <w:rsid w:val="00D23B51"/>
    <w:rsid w:val="00D2554F"/>
    <w:rsid w:val="00D263C5"/>
    <w:rsid w:val="00D27239"/>
    <w:rsid w:val="00D27517"/>
    <w:rsid w:val="00D279D5"/>
    <w:rsid w:val="00D27A6E"/>
    <w:rsid w:val="00D315D5"/>
    <w:rsid w:val="00D32FA1"/>
    <w:rsid w:val="00D33036"/>
    <w:rsid w:val="00D33ED0"/>
    <w:rsid w:val="00D37F54"/>
    <w:rsid w:val="00D40186"/>
    <w:rsid w:val="00D42905"/>
    <w:rsid w:val="00D436EC"/>
    <w:rsid w:val="00D44D22"/>
    <w:rsid w:val="00D45A6B"/>
    <w:rsid w:val="00D5183E"/>
    <w:rsid w:val="00D528EC"/>
    <w:rsid w:val="00D535E0"/>
    <w:rsid w:val="00D538F8"/>
    <w:rsid w:val="00D5417C"/>
    <w:rsid w:val="00D56842"/>
    <w:rsid w:val="00D5723C"/>
    <w:rsid w:val="00D57345"/>
    <w:rsid w:val="00D63459"/>
    <w:rsid w:val="00D65352"/>
    <w:rsid w:val="00D6669B"/>
    <w:rsid w:val="00D666B7"/>
    <w:rsid w:val="00D66BD7"/>
    <w:rsid w:val="00D67603"/>
    <w:rsid w:val="00D7165C"/>
    <w:rsid w:val="00D71784"/>
    <w:rsid w:val="00D73992"/>
    <w:rsid w:val="00D73A56"/>
    <w:rsid w:val="00D749E4"/>
    <w:rsid w:val="00D7576D"/>
    <w:rsid w:val="00D80027"/>
    <w:rsid w:val="00D82827"/>
    <w:rsid w:val="00D829B9"/>
    <w:rsid w:val="00D8716A"/>
    <w:rsid w:val="00D8722C"/>
    <w:rsid w:val="00D91D7E"/>
    <w:rsid w:val="00D94927"/>
    <w:rsid w:val="00D94CF7"/>
    <w:rsid w:val="00D95C6B"/>
    <w:rsid w:val="00D96314"/>
    <w:rsid w:val="00D97E3F"/>
    <w:rsid w:val="00DA0A57"/>
    <w:rsid w:val="00DA1A9A"/>
    <w:rsid w:val="00DA2187"/>
    <w:rsid w:val="00DA49EE"/>
    <w:rsid w:val="00DB1472"/>
    <w:rsid w:val="00DB4C4F"/>
    <w:rsid w:val="00DB500B"/>
    <w:rsid w:val="00DB7209"/>
    <w:rsid w:val="00DC0F37"/>
    <w:rsid w:val="00DC31C4"/>
    <w:rsid w:val="00DC51C8"/>
    <w:rsid w:val="00DC6CE9"/>
    <w:rsid w:val="00DD03DE"/>
    <w:rsid w:val="00DD252F"/>
    <w:rsid w:val="00DD35F9"/>
    <w:rsid w:val="00DD36DC"/>
    <w:rsid w:val="00DD43B7"/>
    <w:rsid w:val="00DD484F"/>
    <w:rsid w:val="00DD5BE6"/>
    <w:rsid w:val="00DD6120"/>
    <w:rsid w:val="00DD7F73"/>
    <w:rsid w:val="00DE009C"/>
    <w:rsid w:val="00DE0BC1"/>
    <w:rsid w:val="00DE200D"/>
    <w:rsid w:val="00DE2845"/>
    <w:rsid w:val="00DE35DE"/>
    <w:rsid w:val="00DE4EE6"/>
    <w:rsid w:val="00DE521F"/>
    <w:rsid w:val="00DE57DE"/>
    <w:rsid w:val="00DE67D5"/>
    <w:rsid w:val="00DE6ED5"/>
    <w:rsid w:val="00DE7418"/>
    <w:rsid w:val="00DE7778"/>
    <w:rsid w:val="00DE7D42"/>
    <w:rsid w:val="00DF037D"/>
    <w:rsid w:val="00DF09F9"/>
    <w:rsid w:val="00DF2EE7"/>
    <w:rsid w:val="00DF564E"/>
    <w:rsid w:val="00DF5FEA"/>
    <w:rsid w:val="00E014FE"/>
    <w:rsid w:val="00E01A8B"/>
    <w:rsid w:val="00E01B3F"/>
    <w:rsid w:val="00E023BB"/>
    <w:rsid w:val="00E029F0"/>
    <w:rsid w:val="00E035C5"/>
    <w:rsid w:val="00E130D3"/>
    <w:rsid w:val="00E131CA"/>
    <w:rsid w:val="00E132B7"/>
    <w:rsid w:val="00E13C8D"/>
    <w:rsid w:val="00E13CB2"/>
    <w:rsid w:val="00E14967"/>
    <w:rsid w:val="00E16BD9"/>
    <w:rsid w:val="00E17F4C"/>
    <w:rsid w:val="00E2005F"/>
    <w:rsid w:val="00E22A00"/>
    <w:rsid w:val="00E30592"/>
    <w:rsid w:val="00E31CE4"/>
    <w:rsid w:val="00E32C55"/>
    <w:rsid w:val="00E3486E"/>
    <w:rsid w:val="00E40319"/>
    <w:rsid w:val="00E40D8E"/>
    <w:rsid w:val="00E40F47"/>
    <w:rsid w:val="00E426A8"/>
    <w:rsid w:val="00E429D8"/>
    <w:rsid w:val="00E443FF"/>
    <w:rsid w:val="00E46A46"/>
    <w:rsid w:val="00E51FC4"/>
    <w:rsid w:val="00E54D3C"/>
    <w:rsid w:val="00E60710"/>
    <w:rsid w:val="00E60927"/>
    <w:rsid w:val="00E616BB"/>
    <w:rsid w:val="00E62DC0"/>
    <w:rsid w:val="00E6366A"/>
    <w:rsid w:val="00E64FC8"/>
    <w:rsid w:val="00E672D1"/>
    <w:rsid w:val="00E719A5"/>
    <w:rsid w:val="00E71DCE"/>
    <w:rsid w:val="00E76824"/>
    <w:rsid w:val="00E822FC"/>
    <w:rsid w:val="00E8446B"/>
    <w:rsid w:val="00E84B75"/>
    <w:rsid w:val="00E84D0C"/>
    <w:rsid w:val="00E863FF"/>
    <w:rsid w:val="00E866A2"/>
    <w:rsid w:val="00E86E4F"/>
    <w:rsid w:val="00E9144E"/>
    <w:rsid w:val="00E91712"/>
    <w:rsid w:val="00E9190F"/>
    <w:rsid w:val="00E91E1D"/>
    <w:rsid w:val="00E91EC5"/>
    <w:rsid w:val="00E92F2F"/>
    <w:rsid w:val="00E93899"/>
    <w:rsid w:val="00E9617C"/>
    <w:rsid w:val="00E96B25"/>
    <w:rsid w:val="00EA0A5C"/>
    <w:rsid w:val="00EA0C16"/>
    <w:rsid w:val="00EA3FF8"/>
    <w:rsid w:val="00EA5426"/>
    <w:rsid w:val="00EA5464"/>
    <w:rsid w:val="00EA6ACE"/>
    <w:rsid w:val="00EB2C90"/>
    <w:rsid w:val="00EB3173"/>
    <w:rsid w:val="00EB4790"/>
    <w:rsid w:val="00EB49E8"/>
    <w:rsid w:val="00EB6471"/>
    <w:rsid w:val="00EB70B4"/>
    <w:rsid w:val="00EB71E4"/>
    <w:rsid w:val="00EC0700"/>
    <w:rsid w:val="00EC0739"/>
    <w:rsid w:val="00EC1018"/>
    <w:rsid w:val="00EC1087"/>
    <w:rsid w:val="00EC25BC"/>
    <w:rsid w:val="00EC594B"/>
    <w:rsid w:val="00EC61EA"/>
    <w:rsid w:val="00EC69F7"/>
    <w:rsid w:val="00EC717D"/>
    <w:rsid w:val="00EC74C6"/>
    <w:rsid w:val="00ED0428"/>
    <w:rsid w:val="00ED2AAC"/>
    <w:rsid w:val="00ED456A"/>
    <w:rsid w:val="00ED610B"/>
    <w:rsid w:val="00ED63B2"/>
    <w:rsid w:val="00ED6D1E"/>
    <w:rsid w:val="00EE1E1A"/>
    <w:rsid w:val="00EE3D06"/>
    <w:rsid w:val="00EE3F2B"/>
    <w:rsid w:val="00EE525F"/>
    <w:rsid w:val="00EE6402"/>
    <w:rsid w:val="00EF08D2"/>
    <w:rsid w:val="00EF210B"/>
    <w:rsid w:val="00EF35A8"/>
    <w:rsid w:val="00EF4435"/>
    <w:rsid w:val="00EF63C9"/>
    <w:rsid w:val="00EF6C44"/>
    <w:rsid w:val="00EF7A7F"/>
    <w:rsid w:val="00F03889"/>
    <w:rsid w:val="00F04354"/>
    <w:rsid w:val="00F05081"/>
    <w:rsid w:val="00F11768"/>
    <w:rsid w:val="00F12EFF"/>
    <w:rsid w:val="00F155EC"/>
    <w:rsid w:val="00F15A20"/>
    <w:rsid w:val="00F16F9E"/>
    <w:rsid w:val="00F20C33"/>
    <w:rsid w:val="00F21F38"/>
    <w:rsid w:val="00F22414"/>
    <w:rsid w:val="00F22FBF"/>
    <w:rsid w:val="00F238A4"/>
    <w:rsid w:val="00F23A16"/>
    <w:rsid w:val="00F24D6E"/>
    <w:rsid w:val="00F25B48"/>
    <w:rsid w:val="00F27033"/>
    <w:rsid w:val="00F2719D"/>
    <w:rsid w:val="00F32066"/>
    <w:rsid w:val="00F33919"/>
    <w:rsid w:val="00F354B7"/>
    <w:rsid w:val="00F35A37"/>
    <w:rsid w:val="00F35CAD"/>
    <w:rsid w:val="00F36A13"/>
    <w:rsid w:val="00F372CC"/>
    <w:rsid w:val="00F416F1"/>
    <w:rsid w:val="00F43779"/>
    <w:rsid w:val="00F45367"/>
    <w:rsid w:val="00F4632A"/>
    <w:rsid w:val="00F47964"/>
    <w:rsid w:val="00F5298F"/>
    <w:rsid w:val="00F5601F"/>
    <w:rsid w:val="00F565D7"/>
    <w:rsid w:val="00F56B8D"/>
    <w:rsid w:val="00F56F30"/>
    <w:rsid w:val="00F60DB9"/>
    <w:rsid w:val="00F630F5"/>
    <w:rsid w:val="00F64D21"/>
    <w:rsid w:val="00F654BB"/>
    <w:rsid w:val="00F661AD"/>
    <w:rsid w:val="00F67866"/>
    <w:rsid w:val="00F72513"/>
    <w:rsid w:val="00F731E0"/>
    <w:rsid w:val="00F7750F"/>
    <w:rsid w:val="00F77A97"/>
    <w:rsid w:val="00F80140"/>
    <w:rsid w:val="00F81494"/>
    <w:rsid w:val="00F8179D"/>
    <w:rsid w:val="00F83FA0"/>
    <w:rsid w:val="00F87384"/>
    <w:rsid w:val="00F874B7"/>
    <w:rsid w:val="00F87BA5"/>
    <w:rsid w:val="00F9071C"/>
    <w:rsid w:val="00F9339F"/>
    <w:rsid w:val="00FA362E"/>
    <w:rsid w:val="00FA5E09"/>
    <w:rsid w:val="00FA62D8"/>
    <w:rsid w:val="00FA74AB"/>
    <w:rsid w:val="00FB0158"/>
    <w:rsid w:val="00FB037E"/>
    <w:rsid w:val="00FB0A21"/>
    <w:rsid w:val="00FB4712"/>
    <w:rsid w:val="00FB48D6"/>
    <w:rsid w:val="00FB6057"/>
    <w:rsid w:val="00FB6933"/>
    <w:rsid w:val="00FB7C29"/>
    <w:rsid w:val="00FC0554"/>
    <w:rsid w:val="00FC05DA"/>
    <w:rsid w:val="00FC10CB"/>
    <w:rsid w:val="00FC19E9"/>
    <w:rsid w:val="00FC204E"/>
    <w:rsid w:val="00FC4058"/>
    <w:rsid w:val="00FC4CC4"/>
    <w:rsid w:val="00FC5D55"/>
    <w:rsid w:val="00FD190C"/>
    <w:rsid w:val="00FD552E"/>
    <w:rsid w:val="00FD5946"/>
    <w:rsid w:val="00FD5E90"/>
    <w:rsid w:val="00FD7CED"/>
    <w:rsid w:val="00FE04C0"/>
    <w:rsid w:val="00FE348A"/>
    <w:rsid w:val="00FE5255"/>
    <w:rsid w:val="00FE58F9"/>
    <w:rsid w:val="00FE5AF6"/>
    <w:rsid w:val="00FE5C26"/>
    <w:rsid w:val="00FE5FA2"/>
    <w:rsid w:val="00FE7760"/>
    <w:rsid w:val="00FF070C"/>
    <w:rsid w:val="00FF1F21"/>
    <w:rsid w:val="00FF264D"/>
    <w:rsid w:val="00FF292E"/>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 w:type="character" w:customStyle="1" w:styleId="m426221618604546539gmail-il">
    <w:name w:val="m_426221618604546539gmail-il"/>
    <w:basedOn w:val="Fuentedeprrafopredeter"/>
    <w:rsid w:val="00170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9365383">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8D996-D5BF-4AFC-AB8E-6239BD44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7560</TotalTime>
  <Pages>52</Pages>
  <Words>12310</Words>
  <Characters>67706</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631</cp:revision>
  <cp:lastPrinted>2018-10-22T15:49:00Z</cp:lastPrinted>
  <dcterms:created xsi:type="dcterms:W3CDTF">2017-06-27T22:47:00Z</dcterms:created>
  <dcterms:modified xsi:type="dcterms:W3CDTF">2018-12-31T19:35:00Z</dcterms:modified>
</cp:coreProperties>
</file>